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59D" w:rsidRDefault="005C5129">
      <w:pPr>
        <w:pStyle w:val="BodyText"/>
        <w:ind w:left="120"/>
        <w:rPr>
          <w:rFonts w:ascii="Times New Roman"/>
        </w:rPr>
      </w:pPr>
      <w:r>
        <w:rPr>
          <w:rFonts w:ascii="Times New Roman"/>
          <w:noProof/>
          <w:lang w:eastAsia="ko-KR"/>
        </w:rPr>
        <w:drawing>
          <wp:inline distT="0" distB="0" distL="0" distR="0">
            <wp:extent cx="2574675" cy="54006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574675" cy="540067"/>
                    </a:xfrm>
                    <a:prstGeom prst="rect">
                      <a:avLst/>
                    </a:prstGeom>
                  </pic:spPr>
                </pic:pic>
              </a:graphicData>
            </a:graphic>
          </wp:inline>
        </w:drawing>
      </w:r>
    </w:p>
    <w:p w:rsidR="0016759D" w:rsidRDefault="0016759D">
      <w:pPr>
        <w:pStyle w:val="BodyText"/>
        <w:spacing w:before="7"/>
        <w:rPr>
          <w:rFonts w:ascii="Times New Roman"/>
          <w:sz w:val="12"/>
        </w:rPr>
      </w:pPr>
    </w:p>
    <w:p w:rsidR="0016759D" w:rsidRDefault="005C5129">
      <w:pPr>
        <w:spacing w:before="64"/>
        <w:ind w:left="120"/>
        <w:rPr>
          <w:b/>
          <w:sz w:val="18"/>
        </w:rPr>
      </w:pPr>
      <w:r>
        <w:rPr>
          <w:b/>
          <w:sz w:val="18"/>
        </w:rPr>
        <w:t>Human Resources</w:t>
      </w:r>
    </w:p>
    <w:p w:rsidR="0016759D" w:rsidRDefault="005C5129">
      <w:pPr>
        <w:ind w:left="120" w:right="6936"/>
        <w:rPr>
          <w:sz w:val="18"/>
        </w:rPr>
      </w:pPr>
      <w:r>
        <w:rPr>
          <w:sz w:val="18"/>
        </w:rPr>
        <w:t>10920 Wilshire Center, Suite 400 Los Angeles, CA 90095–1664 310–794‐0500   Fax 310–794‐0530</w:t>
      </w:r>
    </w:p>
    <w:p w:rsidR="0016759D" w:rsidRDefault="0016759D">
      <w:pPr>
        <w:pStyle w:val="BodyText"/>
      </w:pPr>
    </w:p>
    <w:p w:rsidR="0016759D" w:rsidRDefault="0016759D">
      <w:pPr>
        <w:pStyle w:val="BodyText"/>
        <w:spacing w:before="8"/>
        <w:rPr>
          <w:sz w:val="15"/>
        </w:rPr>
      </w:pPr>
    </w:p>
    <w:p w:rsidR="0016759D" w:rsidRPr="00957490" w:rsidRDefault="005C5129">
      <w:pPr>
        <w:pStyle w:val="BodyText"/>
        <w:spacing w:before="60"/>
        <w:ind w:left="120"/>
        <w:jc w:val="both"/>
      </w:pPr>
      <w:r w:rsidRPr="00957490">
        <w:t>February 1, 2018</w:t>
      </w:r>
    </w:p>
    <w:p w:rsidR="0016759D" w:rsidRDefault="0016759D">
      <w:pPr>
        <w:pStyle w:val="BodyText"/>
        <w:spacing w:before="12"/>
        <w:rPr>
          <w:sz w:val="19"/>
        </w:rPr>
      </w:pPr>
    </w:p>
    <w:p w:rsidR="0016759D" w:rsidRDefault="005C5129">
      <w:pPr>
        <w:pStyle w:val="BodyText"/>
        <w:ind w:left="119"/>
        <w:jc w:val="both"/>
      </w:pPr>
      <w:r>
        <w:t>Dear Agency Manager,</w:t>
      </w:r>
    </w:p>
    <w:p w:rsidR="0016759D" w:rsidRDefault="0016759D">
      <w:pPr>
        <w:pStyle w:val="BodyText"/>
      </w:pPr>
    </w:p>
    <w:p w:rsidR="0016759D" w:rsidRDefault="005C5129">
      <w:pPr>
        <w:pStyle w:val="BodyText"/>
        <w:ind w:left="120" w:right="117" w:hanging="1"/>
        <w:jc w:val="both"/>
      </w:pPr>
      <w:r>
        <w:t>We want to alert you to a change in our health requirements for all temporary staff coming to work at UCLA Healthcare on a temporary assignment effective August 1, 2007. In order to comply with the current regulatory agency standards regarding medical clearances, all employees, whether paid through UCLA or through an agency, must adhere to the same standard.</w:t>
      </w:r>
    </w:p>
    <w:p w:rsidR="0016759D" w:rsidRDefault="0016759D">
      <w:pPr>
        <w:pStyle w:val="BodyText"/>
      </w:pPr>
    </w:p>
    <w:p w:rsidR="0016759D" w:rsidRDefault="005C5129">
      <w:pPr>
        <w:pStyle w:val="BodyText"/>
        <w:ind w:left="119" w:right="117"/>
        <w:jc w:val="both"/>
      </w:pPr>
      <w:r>
        <w:t xml:space="preserve">Working in a hospital setting requires a more extensive health review than other types of industries. We must </w:t>
      </w:r>
      <w:proofErr w:type="gramStart"/>
      <w:r>
        <w:t>do  all</w:t>
      </w:r>
      <w:proofErr w:type="gramEnd"/>
      <w:r>
        <w:t xml:space="preserve"> we can to protect the patient as well as the staff member. Whether an individual works in a clinical area or a non‐patient care area, the standards remain the</w:t>
      </w:r>
      <w:r>
        <w:rPr>
          <w:spacing w:val="-28"/>
        </w:rPr>
        <w:t xml:space="preserve"> </w:t>
      </w:r>
      <w:r>
        <w:t>same.</w:t>
      </w:r>
    </w:p>
    <w:p w:rsidR="0016759D" w:rsidRDefault="0016759D">
      <w:pPr>
        <w:pStyle w:val="BodyText"/>
      </w:pPr>
    </w:p>
    <w:p w:rsidR="0016759D" w:rsidRDefault="005C5129">
      <w:pPr>
        <w:pStyle w:val="BodyText"/>
        <w:ind w:left="119"/>
        <w:jc w:val="both"/>
      </w:pPr>
      <w:r>
        <w:t>Listed below is the revised medical clearance criterion for all staff, including temporary employees:</w:t>
      </w:r>
    </w:p>
    <w:p w:rsidR="0016759D" w:rsidRDefault="0016759D">
      <w:pPr>
        <w:pStyle w:val="BodyText"/>
      </w:pPr>
    </w:p>
    <w:p w:rsidR="0016759D" w:rsidRDefault="005C5129">
      <w:pPr>
        <w:pStyle w:val="ListParagraph"/>
        <w:numPr>
          <w:ilvl w:val="0"/>
          <w:numId w:val="1"/>
        </w:numPr>
        <w:tabs>
          <w:tab w:val="left" w:pos="839"/>
          <w:tab w:val="left" w:pos="840"/>
        </w:tabs>
        <w:ind w:right="738" w:hanging="361"/>
        <w:rPr>
          <w:sz w:val="20"/>
        </w:rPr>
      </w:pPr>
      <w:r>
        <w:rPr>
          <w:sz w:val="20"/>
        </w:rPr>
        <w:t xml:space="preserve">Temporary employee must have </w:t>
      </w:r>
      <w:r>
        <w:rPr>
          <w:b/>
          <w:sz w:val="20"/>
        </w:rPr>
        <w:t>proof of immunity</w:t>
      </w:r>
      <w:r>
        <w:rPr>
          <w:sz w:val="20"/>
        </w:rPr>
        <w:t xml:space="preserve">, </w:t>
      </w:r>
      <w:r>
        <w:rPr>
          <w:sz w:val="20"/>
          <w:u w:val="single"/>
        </w:rPr>
        <w:t>(e.g. documented blood titers or documented appropriate vaccinations)</w:t>
      </w:r>
      <w:r>
        <w:rPr>
          <w:sz w:val="20"/>
        </w:rPr>
        <w:t>, to the following</w:t>
      </w:r>
      <w:r>
        <w:rPr>
          <w:spacing w:val="-31"/>
          <w:sz w:val="20"/>
        </w:rPr>
        <w:t xml:space="preserve"> </w:t>
      </w:r>
      <w:r>
        <w:rPr>
          <w:sz w:val="20"/>
        </w:rPr>
        <w:t>conditions:</w:t>
      </w:r>
    </w:p>
    <w:p w:rsidR="0016759D" w:rsidRDefault="005C5129">
      <w:pPr>
        <w:pStyle w:val="ListParagraph"/>
        <w:numPr>
          <w:ilvl w:val="1"/>
          <w:numId w:val="1"/>
        </w:numPr>
        <w:tabs>
          <w:tab w:val="left" w:pos="1559"/>
          <w:tab w:val="left" w:pos="1560"/>
          <w:tab w:val="left" w:pos="4439"/>
          <w:tab w:val="left" w:pos="5159"/>
        </w:tabs>
        <w:spacing w:before="1" w:line="255" w:lineRule="exact"/>
        <w:rPr>
          <w:sz w:val="20"/>
        </w:rPr>
      </w:pPr>
      <w:r>
        <w:rPr>
          <w:sz w:val="20"/>
        </w:rPr>
        <w:t>Measles</w:t>
      </w:r>
      <w:r>
        <w:rPr>
          <w:spacing w:val="-3"/>
          <w:sz w:val="20"/>
        </w:rPr>
        <w:t xml:space="preserve"> </w:t>
      </w:r>
      <w:r>
        <w:rPr>
          <w:sz w:val="20"/>
        </w:rPr>
        <w:t>(</w:t>
      </w:r>
      <w:proofErr w:type="spellStart"/>
      <w:r>
        <w:rPr>
          <w:sz w:val="20"/>
        </w:rPr>
        <w:t>Rubeola</w:t>
      </w:r>
      <w:proofErr w:type="spellEnd"/>
      <w:r>
        <w:rPr>
          <w:sz w:val="20"/>
        </w:rPr>
        <w:t>)</w:t>
      </w:r>
      <w:r>
        <w:rPr>
          <w:sz w:val="20"/>
        </w:rPr>
        <w:tab/>
      </w:r>
      <w:r>
        <w:rPr>
          <w:rFonts w:ascii="Symbol" w:hAnsi="Symbol"/>
          <w:sz w:val="20"/>
        </w:rPr>
        <w:t></w:t>
      </w:r>
      <w:r>
        <w:rPr>
          <w:rFonts w:ascii="Times New Roman" w:hAnsi="Times New Roman"/>
          <w:sz w:val="20"/>
        </w:rPr>
        <w:tab/>
      </w:r>
      <w:r>
        <w:rPr>
          <w:sz w:val="20"/>
        </w:rPr>
        <w:t>Mumps</w:t>
      </w:r>
    </w:p>
    <w:p w:rsidR="0016759D" w:rsidRDefault="005C5129">
      <w:pPr>
        <w:pStyle w:val="ListParagraph"/>
        <w:numPr>
          <w:ilvl w:val="1"/>
          <w:numId w:val="1"/>
        </w:numPr>
        <w:tabs>
          <w:tab w:val="left" w:pos="1559"/>
          <w:tab w:val="left" w:pos="1560"/>
          <w:tab w:val="left" w:pos="4439"/>
          <w:tab w:val="left" w:pos="5159"/>
        </w:tabs>
        <w:ind w:left="1559"/>
        <w:rPr>
          <w:sz w:val="20"/>
        </w:rPr>
      </w:pPr>
      <w:r>
        <w:rPr>
          <w:sz w:val="20"/>
        </w:rPr>
        <w:t xml:space="preserve">Rubella </w:t>
      </w:r>
      <w:r>
        <w:rPr>
          <w:spacing w:val="16"/>
          <w:sz w:val="20"/>
        </w:rPr>
        <w:t xml:space="preserve"> </w:t>
      </w:r>
      <w:r>
        <w:rPr>
          <w:sz w:val="20"/>
        </w:rPr>
        <w:t>(German</w:t>
      </w:r>
      <w:r>
        <w:rPr>
          <w:spacing w:val="-4"/>
          <w:sz w:val="20"/>
        </w:rPr>
        <w:t xml:space="preserve"> </w:t>
      </w:r>
      <w:r>
        <w:rPr>
          <w:sz w:val="20"/>
        </w:rPr>
        <w:t>Measles)</w:t>
      </w:r>
      <w:r>
        <w:rPr>
          <w:sz w:val="20"/>
        </w:rPr>
        <w:tab/>
      </w:r>
      <w:r>
        <w:rPr>
          <w:rFonts w:ascii="Symbol" w:hAnsi="Symbol"/>
          <w:sz w:val="20"/>
        </w:rPr>
        <w:t></w:t>
      </w:r>
      <w:r>
        <w:rPr>
          <w:rFonts w:ascii="Times New Roman" w:hAnsi="Times New Roman"/>
          <w:sz w:val="20"/>
        </w:rPr>
        <w:tab/>
      </w:r>
      <w:r>
        <w:rPr>
          <w:sz w:val="20"/>
        </w:rPr>
        <w:t>Varicella</w:t>
      </w:r>
    </w:p>
    <w:p w:rsidR="0016759D" w:rsidRDefault="0016759D">
      <w:pPr>
        <w:pStyle w:val="BodyText"/>
      </w:pPr>
    </w:p>
    <w:p w:rsidR="0016759D" w:rsidRDefault="005C5129">
      <w:pPr>
        <w:pStyle w:val="ListParagraph"/>
        <w:numPr>
          <w:ilvl w:val="0"/>
          <w:numId w:val="1"/>
        </w:numPr>
        <w:tabs>
          <w:tab w:val="left" w:pos="839"/>
          <w:tab w:val="left" w:pos="840"/>
        </w:tabs>
        <w:spacing w:line="244" w:lineRule="exact"/>
        <w:ind w:left="839"/>
        <w:rPr>
          <w:sz w:val="20"/>
        </w:rPr>
      </w:pPr>
      <w:r>
        <w:rPr>
          <w:sz w:val="20"/>
        </w:rPr>
        <w:t>Temporary employee must be</w:t>
      </w:r>
      <w:r>
        <w:rPr>
          <w:spacing w:val="-13"/>
          <w:sz w:val="20"/>
        </w:rPr>
        <w:t xml:space="preserve"> </w:t>
      </w:r>
      <w:r>
        <w:rPr>
          <w:sz w:val="20"/>
        </w:rPr>
        <w:t>either</w:t>
      </w:r>
    </w:p>
    <w:p w:rsidR="0016759D" w:rsidRDefault="005C5129">
      <w:pPr>
        <w:pStyle w:val="ListParagraph"/>
        <w:numPr>
          <w:ilvl w:val="1"/>
          <w:numId w:val="1"/>
        </w:numPr>
        <w:tabs>
          <w:tab w:val="left" w:pos="1559"/>
          <w:tab w:val="left" w:pos="1560"/>
        </w:tabs>
        <w:spacing w:line="254" w:lineRule="exact"/>
        <w:ind w:left="1559"/>
        <w:rPr>
          <w:sz w:val="20"/>
        </w:rPr>
      </w:pPr>
      <w:r>
        <w:rPr>
          <w:sz w:val="20"/>
        </w:rPr>
        <w:t>offered and given the Hepatitis B vaccine series,</w:t>
      </w:r>
      <w:r>
        <w:rPr>
          <w:spacing w:val="-31"/>
          <w:sz w:val="20"/>
        </w:rPr>
        <w:t xml:space="preserve"> </w:t>
      </w:r>
      <w:r>
        <w:rPr>
          <w:sz w:val="20"/>
        </w:rPr>
        <w:t>or</w:t>
      </w:r>
    </w:p>
    <w:p w:rsidR="0016759D" w:rsidRDefault="005C5129">
      <w:pPr>
        <w:pStyle w:val="ListParagraph"/>
        <w:numPr>
          <w:ilvl w:val="1"/>
          <w:numId w:val="1"/>
        </w:numPr>
        <w:tabs>
          <w:tab w:val="left" w:pos="1559"/>
          <w:tab w:val="left" w:pos="1560"/>
        </w:tabs>
        <w:ind w:left="1559"/>
        <w:rPr>
          <w:sz w:val="20"/>
        </w:rPr>
      </w:pPr>
      <w:r>
        <w:rPr>
          <w:sz w:val="20"/>
        </w:rPr>
        <w:t>demonstrate immunity to Hepatitis B,</w:t>
      </w:r>
      <w:r>
        <w:rPr>
          <w:spacing w:val="-24"/>
          <w:sz w:val="20"/>
        </w:rPr>
        <w:t xml:space="preserve"> </w:t>
      </w:r>
      <w:r>
        <w:rPr>
          <w:sz w:val="20"/>
        </w:rPr>
        <w:t>or</w:t>
      </w:r>
    </w:p>
    <w:p w:rsidR="0016759D" w:rsidRDefault="005C5129">
      <w:pPr>
        <w:pStyle w:val="ListParagraph"/>
        <w:numPr>
          <w:ilvl w:val="1"/>
          <w:numId w:val="1"/>
        </w:numPr>
        <w:tabs>
          <w:tab w:val="left" w:pos="1559"/>
          <w:tab w:val="left" w:pos="1560"/>
        </w:tabs>
        <w:spacing w:before="1"/>
        <w:ind w:left="1559"/>
        <w:rPr>
          <w:sz w:val="20"/>
        </w:rPr>
      </w:pPr>
      <w:r>
        <w:rPr>
          <w:sz w:val="20"/>
        </w:rPr>
        <w:t>sign a declination for Hepatitis B</w:t>
      </w:r>
      <w:r>
        <w:rPr>
          <w:spacing w:val="-23"/>
          <w:sz w:val="20"/>
        </w:rPr>
        <w:t xml:space="preserve"> </w:t>
      </w:r>
      <w:r>
        <w:rPr>
          <w:sz w:val="20"/>
        </w:rPr>
        <w:t>vaccination</w:t>
      </w:r>
    </w:p>
    <w:p w:rsidR="0016759D" w:rsidRDefault="0016759D">
      <w:pPr>
        <w:pStyle w:val="BodyText"/>
        <w:spacing w:before="11"/>
        <w:rPr>
          <w:sz w:val="19"/>
        </w:rPr>
      </w:pPr>
    </w:p>
    <w:p w:rsidR="0016759D" w:rsidRPr="00F35FD5" w:rsidRDefault="005C5129" w:rsidP="00287595">
      <w:pPr>
        <w:pStyle w:val="ListParagraph"/>
        <w:numPr>
          <w:ilvl w:val="0"/>
          <w:numId w:val="1"/>
        </w:numPr>
        <w:tabs>
          <w:tab w:val="left" w:pos="839"/>
          <w:tab w:val="left" w:pos="840"/>
        </w:tabs>
        <w:spacing w:before="12"/>
        <w:ind w:right="161" w:hanging="361"/>
        <w:rPr>
          <w:rFonts w:asciiTheme="minorHAnsi" w:hAnsiTheme="minorHAnsi" w:cs="Times New Roman"/>
          <w:sz w:val="20"/>
          <w:szCs w:val="20"/>
        </w:rPr>
      </w:pPr>
      <w:r w:rsidRPr="00F35FD5">
        <w:rPr>
          <w:rFonts w:asciiTheme="minorHAnsi" w:hAnsiTheme="minorHAnsi" w:cs="Times New Roman"/>
          <w:sz w:val="20"/>
        </w:rPr>
        <w:t xml:space="preserve">Temporary employee must be tested for Tuberculosis by </w:t>
      </w:r>
      <w:r w:rsidR="00A2424A" w:rsidRPr="00F35FD5">
        <w:rPr>
          <w:rFonts w:asciiTheme="minorHAnsi" w:hAnsiTheme="minorHAnsi" w:cs="Times New Roman"/>
          <w:sz w:val="20"/>
          <w:szCs w:val="20"/>
        </w:rPr>
        <w:t>a Quantiferon (QFT) or T-Spot to meet the TB clearance requirement, and annually thereafter.  If the employee has a positive QFT or T-Spot, they will show that they do not have active TB with an X-ray report dated within the past 3 months.</w:t>
      </w:r>
    </w:p>
    <w:p w:rsidR="00A2424A" w:rsidRPr="00A2424A" w:rsidRDefault="00A2424A" w:rsidP="00F35FD5">
      <w:pPr>
        <w:pStyle w:val="ListParagraph"/>
        <w:tabs>
          <w:tab w:val="left" w:pos="839"/>
          <w:tab w:val="left" w:pos="840"/>
        </w:tabs>
        <w:spacing w:before="12"/>
        <w:ind w:left="840" w:right="161" w:firstLine="0"/>
        <w:rPr>
          <w:sz w:val="19"/>
        </w:rPr>
      </w:pPr>
    </w:p>
    <w:p w:rsidR="0016759D" w:rsidRDefault="005C5129">
      <w:pPr>
        <w:pStyle w:val="ListParagraph"/>
        <w:numPr>
          <w:ilvl w:val="0"/>
          <w:numId w:val="1"/>
        </w:numPr>
        <w:tabs>
          <w:tab w:val="left" w:pos="839"/>
          <w:tab w:val="left" w:pos="840"/>
        </w:tabs>
        <w:rPr>
          <w:sz w:val="20"/>
        </w:rPr>
      </w:pPr>
      <w:r>
        <w:rPr>
          <w:sz w:val="20"/>
        </w:rPr>
        <w:t>Temporary</w:t>
      </w:r>
      <w:r>
        <w:rPr>
          <w:spacing w:val="-3"/>
          <w:sz w:val="20"/>
        </w:rPr>
        <w:t xml:space="preserve"> </w:t>
      </w:r>
      <w:r>
        <w:rPr>
          <w:sz w:val="20"/>
        </w:rPr>
        <w:t>employee</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offered</w:t>
      </w:r>
      <w:r>
        <w:rPr>
          <w:spacing w:val="-5"/>
          <w:sz w:val="20"/>
        </w:rPr>
        <w:t xml:space="preserve"> </w:t>
      </w:r>
      <w:r>
        <w:rPr>
          <w:sz w:val="20"/>
        </w:rPr>
        <w:t>the</w:t>
      </w:r>
      <w:r>
        <w:rPr>
          <w:spacing w:val="-5"/>
          <w:sz w:val="20"/>
        </w:rPr>
        <w:t xml:space="preserve"> </w:t>
      </w:r>
      <w:proofErr w:type="spellStart"/>
      <w:r>
        <w:rPr>
          <w:sz w:val="20"/>
        </w:rPr>
        <w:t>Tdap</w:t>
      </w:r>
      <w:proofErr w:type="spellEnd"/>
      <w:r>
        <w:rPr>
          <w:spacing w:val="-5"/>
          <w:sz w:val="20"/>
        </w:rPr>
        <w:t xml:space="preserve"> </w:t>
      </w:r>
      <w:r>
        <w:rPr>
          <w:sz w:val="20"/>
        </w:rPr>
        <w:t>(Tetanus,</w:t>
      </w:r>
      <w:r>
        <w:rPr>
          <w:spacing w:val="-5"/>
          <w:sz w:val="20"/>
        </w:rPr>
        <w:t xml:space="preserve"> </w:t>
      </w:r>
      <w:r>
        <w:rPr>
          <w:sz w:val="20"/>
        </w:rPr>
        <w:t>Diphtheria,</w:t>
      </w:r>
      <w:r>
        <w:rPr>
          <w:spacing w:val="-4"/>
          <w:sz w:val="20"/>
        </w:rPr>
        <w:t xml:space="preserve"> </w:t>
      </w:r>
      <w:r>
        <w:rPr>
          <w:sz w:val="20"/>
        </w:rPr>
        <w:t>and</w:t>
      </w:r>
      <w:r>
        <w:rPr>
          <w:spacing w:val="-4"/>
          <w:sz w:val="20"/>
        </w:rPr>
        <w:t xml:space="preserve"> </w:t>
      </w:r>
      <w:r>
        <w:rPr>
          <w:sz w:val="20"/>
        </w:rPr>
        <w:t>Pertussis)</w:t>
      </w:r>
      <w:r>
        <w:rPr>
          <w:spacing w:val="-5"/>
          <w:sz w:val="20"/>
        </w:rPr>
        <w:t xml:space="preserve"> </w:t>
      </w:r>
      <w:r>
        <w:rPr>
          <w:sz w:val="20"/>
        </w:rPr>
        <w:t>Vaccine</w:t>
      </w:r>
    </w:p>
    <w:p w:rsidR="0016759D" w:rsidRDefault="0016759D">
      <w:pPr>
        <w:pStyle w:val="BodyText"/>
      </w:pPr>
    </w:p>
    <w:p w:rsidR="0016759D" w:rsidRDefault="005C5129">
      <w:pPr>
        <w:pStyle w:val="ListParagraph"/>
        <w:numPr>
          <w:ilvl w:val="0"/>
          <w:numId w:val="1"/>
        </w:numPr>
        <w:tabs>
          <w:tab w:val="left" w:pos="839"/>
          <w:tab w:val="left" w:pos="840"/>
        </w:tabs>
        <w:ind w:left="839" w:right="467" w:hanging="359"/>
        <w:rPr>
          <w:sz w:val="20"/>
        </w:rPr>
      </w:pPr>
      <w:r>
        <w:rPr>
          <w:sz w:val="20"/>
        </w:rPr>
        <w:t>Temporary employee must be physically and medically cleared by a physician to perform the essential functions of the temporary</w:t>
      </w:r>
      <w:r>
        <w:rPr>
          <w:spacing w:val="-26"/>
          <w:sz w:val="20"/>
        </w:rPr>
        <w:t xml:space="preserve"> </w:t>
      </w:r>
      <w:r>
        <w:rPr>
          <w:sz w:val="20"/>
        </w:rPr>
        <w:t>assignment.</w:t>
      </w:r>
    </w:p>
    <w:p w:rsidR="005C5129" w:rsidRPr="005C5129" w:rsidRDefault="005C5129" w:rsidP="005C5129">
      <w:pPr>
        <w:pStyle w:val="ListParagraph"/>
        <w:rPr>
          <w:sz w:val="20"/>
        </w:rPr>
      </w:pPr>
    </w:p>
    <w:p w:rsidR="005C5129" w:rsidRPr="00957490" w:rsidRDefault="005C5129">
      <w:pPr>
        <w:pStyle w:val="ListParagraph"/>
        <w:numPr>
          <w:ilvl w:val="0"/>
          <w:numId w:val="1"/>
        </w:numPr>
        <w:tabs>
          <w:tab w:val="left" w:pos="839"/>
          <w:tab w:val="left" w:pos="840"/>
        </w:tabs>
        <w:ind w:left="839" w:right="467" w:hanging="359"/>
        <w:rPr>
          <w:sz w:val="20"/>
        </w:rPr>
      </w:pPr>
      <w:r w:rsidRPr="00957490">
        <w:rPr>
          <w:sz w:val="20"/>
        </w:rPr>
        <w:t xml:space="preserve">Temporary employee must be fit tested for </w:t>
      </w:r>
      <w:r w:rsidR="008A2E8D">
        <w:rPr>
          <w:sz w:val="20"/>
        </w:rPr>
        <w:t xml:space="preserve">the Kimberly Clark </w:t>
      </w:r>
      <w:r w:rsidRPr="00957490">
        <w:rPr>
          <w:sz w:val="20"/>
        </w:rPr>
        <w:t xml:space="preserve">N95 or </w:t>
      </w:r>
      <w:proofErr w:type="spellStart"/>
      <w:r w:rsidRPr="00957490">
        <w:rPr>
          <w:sz w:val="20"/>
        </w:rPr>
        <w:t>Moldex</w:t>
      </w:r>
      <w:proofErr w:type="spellEnd"/>
      <w:r w:rsidRPr="00957490">
        <w:rPr>
          <w:sz w:val="20"/>
        </w:rPr>
        <w:t xml:space="preserve"> mask if they will be working in patient care area with risk of exposure.</w:t>
      </w:r>
    </w:p>
    <w:p w:rsidR="0016759D" w:rsidRDefault="0016759D">
      <w:pPr>
        <w:pStyle w:val="BodyText"/>
      </w:pPr>
    </w:p>
    <w:p w:rsidR="0016759D" w:rsidRDefault="005C5129">
      <w:pPr>
        <w:pStyle w:val="BodyText"/>
        <w:ind w:left="119" w:right="163"/>
        <w:jc w:val="both"/>
      </w:pPr>
      <w:r>
        <w:t>This is not a service available through UCLA Health’s Occupational Health Facility. But, we would be happy to help you find an outside Occupational Clinic that performs these screenings, as a professional courtesy for your agency. These health requirements must be completed prior to the start of any assignment. Proof of the medical clearance must be made available to the UCLA Health manager of the assigned department.</w:t>
      </w:r>
    </w:p>
    <w:p w:rsidR="0016759D" w:rsidRDefault="0016759D">
      <w:pPr>
        <w:pStyle w:val="BodyText"/>
      </w:pPr>
    </w:p>
    <w:p w:rsidR="0016759D" w:rsidRDefault="005C5129">
      <w:pPr>
        <w:pStyle w:val="BodyText"/>
        <w:ind w:left="120" w:hanging="1"/>
      </w:pPr>
      <w:r>
        <w:t>If you have any questions, please contact</w:t>
      </w:r>
      <w:r w:rsidR="008A2E8D">
        <w:t xml:space="preserve"> Nohemi Rosales </w:t>
      </w:r>
      <w:r>
        <w:t xml:space="preserve">UCLA Health Human Resources at (310) </w:t>
      </w:r>
      <w:r w:rsidR="00AB402D">
        <w:t>267-3244</w:t>
      </w:r>
      <w:bookmarkStart w:id="0" w:name="_GoBack"/>
      <w:bookmarkEnd w:id="0"/>
      <w:r>
        <w:t>.</w:t>
      </w:r>
    </w:p>
    <w:p w:rsidR="0016759D" w:rsidRDefault="0016759D">
      <w:pPr>
        <w:pStyle w:val="BodyText"/>
      </w:pPr>
    </w:p>
    <w:p w:rsidR="0016759D" w:rsidRDefault="005C5129">
      <w:pPr>
        <w:pStyle w:val="BodyText"/>
        <w:ind w:left="120"/>
        <w:jc w:val="both"/>
      </w:pPr>
      <w:r>
        <w:t>Sincerely,</w:t>
      </w:r>
    </w:p>
    <w:p w:rsidR="0016759D" w:rsidRDefault="0016759D">
      <w:pPr>
        <w:pStyle w:val="BodyText"/>
      </w:pPr>
    </w:p>
    <w:p w:rsidR="0016759D" w:rsidRDefault="008A2E8D" w:rsidP="008A2E8D">
      <w:pPr>
        <w:tabs>
          <w:tab w:val="left" w:pos="5879"/>
        </w:tabs>
        <w:spacing w:line="244" w:lineRule="exact"/>
        <w:rPr>
          <w:b/>
          <w:sz w:val="20"/>
        </w:rPr>
      </w:pPr>
      <w:r>
        <w:rPr>
          <w:b/>
          <w:sz w:val="20"/>
        </w:rPr>
        <w:t xml:space="preserve">   </w:t>
      </w:r>
      <w:r w:rsidR="00957490">
        <w:rPr>
          <w:b/>
          <w:sz w:val="20"/>
        </w:rPr>
        <w:t>Nohemi Rosales</w:t>
      </w:r>
      <w:r w:rsidR="00957490">
        <w:rPr>
          <w:b/>
          <w:sz w:val="20"/>
        </w:rPr>
        <w:tab/>
      </w:r>
    </w:p>
    <w:p w:rsidR="0016759D" w:rsidRDefault="008A2E8D" w:rsidP="008A2E8D">
      <w:pPr>
        <w:pStyle w:val="BodyText"/>
        <w:tabs>
          <w:tab w:val="left" w:pos="5879"/>
        </w:tabs>
        <w:spacing w:line="244" w:lineRule="exact"/>
      </w:pPr>
      <w:r>
        <w:t xml:space="preserve">   </w:t>
      </w:r>
      <w:r w:rsidR="005C5129">
        <w:t>Temporary</w:t>
      </w:r>
      <w:r w:rsidR="005C5129">
        <w:rPr>
          <w:spacing w:val="-4"/>
        </w:rPr>
        <w:t xml:space="preserve"> </w:t>
      </w:r>
      <w:r w:rsidR="005C5129">
        <w:t>Staff</w:t>
      </w:r>
      <w:r w:rsidR="005C5129">
        <w:rPr>
          <w:spacing w:val="-4"/>
        </w:rPr>
        <w:t xml:space="preserve"> </w:t>
      </w:r>
      <w:r w:rsidR="005C5129">
        <w:t>Coordinator</w:t>
      </w:r>
      <w:r w:rsidR="005C5129">
        <w:tab/>
      </w:r>
    </w:p>
    <w:p w:rsidR="0016759D" w:rsidRDefault="008A2E8D" w:rsidP="008A2E8D">
      <w:pPr>
        <w:pStyle w:val="BodyText"/>
        <w:tabs>
          <w:tab w:val="left" w:pos="5879"/>
        </w:tabs>
        <w:rPr>
          <w:rFonts w:ascii="NewsGoth Cn BT"/>
          <w:sz w:val="21"/>
        </w:rPr>
      </w:pPr>
      <w:r>
        <w:t xml:space="preserve"> </w:t>
      </w:r>
      <w:r w:rsidR="008B1F4B">
        <w:t xml:space="preserve">  </w:t>
      </w:r>
      <w:r w:rsidR="005C5129">
        <w:t>UCLA</w:t>
      </w:r>
      <w:r w:rsidR="005C5129">
        <w:rPr>
          <w:spacing w:val="-2"/>
        </w:rPr>
        <w:t xml:space="preserve"> </w:t>
      </w:r>
      <w:r>
        <w:t>Health</w:t>
      </w:r>
      <w:r>
        <w:tab/>
      </w:r>
    </w:p>
    <w:sectPr w:rsidR="0016759D">
      <w:type w:val="continuous"/>
      <w:pgSz w:w="12240" w:h="15840"/>
      <w:pgMar w:top="7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sGoth Cn BT">
    <w:panose1 w:val="020B0506020202030204"/>
    <w:charset w:val="00"/>
    <w:family w:val="swiss"/>
    <w:pitch w:val="variable"/>
    <w:sig w:usb0="00000087" w:usb1="00000000" w:usb2="00000000" w:usb3="00000000" w:csb0="0000001B"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03827"/>
    <w:multiLevelType w:val="hybridMultilevel"/>
    <w:tmpl w:val="D6D40E7C"/>
    <w:lvl w:ilvl="0" w:tplc="14182740">
      <w:start w:val="1"/>
      <w:numFmt w:val="decimal"/>
      <w:lvlText w:val="%1."/>
      <w:lvlJc w:val="left"/>
      <w:pPr>
        <w:ind w:left="840" w:hanging="360"/>
        <w:jc w:val="left"/>
      </w:pPr>
      <w:rPr>
        <w:rFonts w:ascii="Calibri" w:eastAsia="Calibri" w:hAnsi="Calibri" w:cs="Calibri" w:hint="default"/>
        <w:w w:val="100"/>
        <w:sz w:val="20"/>
        <w:szCs w:val="20"/>
      </w:rPr>
    </w:lvl>
    <w:lvl w:ilvl="1" w:tplc="06C2AB34">
      <w:numFmt w:val="bullet"/>
      <w:lvlText w:val=""/>
      <w:lvlJc w:val="left"/>
      <w:pPr>
        <w:ind w:left="1560" w:hanging="720"/>
      </w:pPr>
      <w:rPr>
        <w:rFonts w:ascii="Symbol" w:eastAsia="Symbol" w:hAnsi="Symbol" w:cs="Symbol" w:hint="default"/>
        <w:w w:val="100"/>
        <w:sz w:val="20"/>
        <w:szCs w:val="20"/>
      </w:rPr>
    </w:lvl>
    <w:lvl w:ilvl="2" w:tplc="55341A7C">
      <w:numFmt w:val="bullet"/>
      <w:lvlText w:val="•"/>
      <w:lvlJc w:val="left"/>
      <w:pPr>
        <w:ind w:left="2453" w:hanging="720"/>
      </w:pPr>
      <w:rPr>
        <w:rFonts w:hint="default"/>
      </w:rPr>
    </w:lvl>
    <w:lvl w:ilvl="3" w:tplc="5712BBD6">
      <w:numFmt w:val="bullet"/>
      <w:lvlText w:val="•"/>
      <w:lvlJc w:val="left"/>
      <w:pPr>
        <w:ind w:left="3346" w:hanging="720"/>
      </w:pPr>
      <w:rPr>
        <w:rFonts w:hint="default"/>
      </w:rPr>
    </w:lvl>
    <w:lvl w:ilvl="4" w:tplc="8344457C">
      <w:numFmt w:val="bullet"/>
      <w:lvlText w:val="•"/>
      <w:lvlJc w:val="left"/>
      <w:pPr>
        <w:ind w:left="4240" w:hanging="720"/>
      </w:pPr>
      <w:rPr>
        <w:rFonts w:hint="default"/>
      </w:rPr>
    </w:lvl>
    <w:lvl w:ilvl="5" w:tplc="076E63F8">
      <w:numFmt w:val="bullet"/>
      <w:lvlText w:val="•"/>
      <w:lvlJc w:val="left"/>
      <w:pPr>
        <w:ind w:left="5133" w:hanging="720"/>
      </w:pPr>
      <w:rPr>
        <w:rFonts w:hint="default"/>
      </w:rPr>
    </w:lvl>
    <w:lvl w:ilvl="6" w:tplc="8EB2EE56">
      <w:numFmt w:val="bullet"/>
      <w:lvlText w:val="•"/>
      <w:lvlJc w:val="left"/>
      <w:pPr>
        <w:ind w:left="6026" w:hanging="720"/>
      </w:pPr>
      <w:rPr>
        <w:rFonts w:hint="default"/>
      </w:rPr>
    </w:lvl>
    <w:lvl w:ilvl="7" w:tplc="EF065576">
      <w:numFmt w:val="bullet"/>
      <w:lvlText w:val="•"/>
      <w:lvlJc w:val="left"/>
      <w:pPr>
        <w:ind w:left="6920" w:hanging="720"/>
      </w:pPr>
      <w:rPr>
        <w:rFonts w:hint="default"/>
      </w:rPr>
    </w:lvl>
    <w:lvl w:ilvl="8" w:tplc="F026811E">
      <w:numFmt w:val="bullet"/>
      <w:lvlText w:val="•"/>
      <w:lvlJc w:val="left"/>
      <w:pPr>
        <w:ind w:left="7813"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9D"/>
    <w:rsid w:val="00000A6E"/>
    <w:rsid w:val="0016759D"/>
    <w:rsid w:val="005C5129"/>
    <w:rsid w:val="008A2E8D"/>
    <w:rsid w:val="008B1F4B"/>
    <w:rsid w:val="00957490"/>
    <w:rsid w:val="00A2424A"/>
    <w:rsid w:val="00AB402D"/>
    <w:rsid w:val="00B57D15"/>
    <w:rsid w:val="00F35F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ECB8"/>
  <w15:docId w15:val="{B91E1CE8-0990-41BF-A823-1F6038E2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5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Medical Clearance Criteria letter 2015 (4).doc</vt:lpstr>
    </vt:vector>
  </TitlesOfParts>
  <Company>UCLA Health</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Medical Clearance Criteria letter 2015 (4).doc</dc:title>
  <dc:creator>jdieb</dc:creator>
  <cp:lastModifiedBy>Kim, Jin W. [HRIS]</cp:lastModifiedBy>
  <cp:revision>7</cp:revision>
  <dcterms:created xsi:type="dcterms:W3CDTF">2018-02-06T20:20:00Z</dcterms:created>
  <dcterms:modified xsi:type="dcterms:W3CDTF">2018-04-05T18:51:00Z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2015-08-14T00:00:00Z</vt:filetime>
  </property>
  <property fmtid="{D5CDD505-2E9C-101B-9397-08002B2CF9AE}" pid="3" name="Creator">
    <vt:lpwstr>PScript5.dll Version 5.2.2</vt:lpwstr>
  </property>
  <property fmtid="{D5CDD505-2E9C-101B-9397-08002B2CF9AE}" pid="4" name="LastSaved">
    <vt:filetime>2018-02-01T00:00:00Z</vt:filetime>
  </property>
</Properties>
</file>