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1205C" w14:textId="6CC835A5" w:rsidR="00336854" w:rsidRDefault="00336854" w:rsidP="00475A57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UCLA DEPARTMENT OF FAMILY MEDICINE</w:t>
      </w:r>
    </w:p>
    <w:p w14:paraId="30593A14" w14:textId="0D2BBB60" w:rsidR="00475A57" w:rsidRPr="00336854" w:rsidRDefault="004E129D" w:rsidP="00475A57">
      <w:pPr>
        <w:spacing w:after="0" w:line="240" w:lineRule="auto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ORDERING </w:t>
      </w:r>
      <w:r w:rsidR="00475A57" w:rsidRPr="00336854">
        <w:rPr>
          <w:rFonts w:asciiTheme="majorHAnsi" w:hAnsiTheme="majorHAnsi"/>
          <w:b/>
          <w:sz w:val="36"/>
          <w:szCs w:val="36"/>
        </w:rPr>
        <w:t xml:space="preserve">GIFT CARDS </w:t>
      </w:r>
    </w:p>
    <w:p w14:paraId="3BE60176" w14:textId="77777777" w:rsidR="00336854" w:rsidRDefault="00336854" w:rsidP="00475A57">
      <w:pPr>
        <w:rPr>
          <w:rFonts w:asciiTheme="majorHAnsi" w:hAnsiTheme="majorHAnsi"/>
        </w:rPr>
      </w:pPr>
    </w:p>
    <w:p w14:paraId="2361762A" w14:textId="0056DBFF" w:rsidR="004E129D" w:rsidRDefault="004E129D" w:rsidP="004E72C9">
      <w:pP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>These instructions are for</w:t>
      </w:r>
      <w:r w:rsidR="00475A57">
        <w:rPr>
          <w:rFonts w:asciiTheme="majorHAnsi" w:hAnsiTheme="majorHAnsi"/>
        </w:rPr>
        <w:t xml:space="preserve"> ordering gift cards (</w:t>
      </w:r>
      <w:r w:rsidR="00046CCC">
        <w:rPr>
          <w:rFonts w:asciiTheme="majorHAnsi" w:hAnsiTheme="majorHAnsi"/>
        </w:rPr>
        <w:t>both physical cards and e-codes</w:t>
      </w:r>
      <w:r w:rsidR="00475A57">
        <w:rPr>
          <w:rFonts w:asciiTheme="majorHAnsi" w:hAnsiTheme="majorHAnsi"/>
        </w:rPr>
        <w:t>) for</w:t>
      </w:r>
      <w:r>
        <w:rPr>
          <w:rFonts w:asciiTheme="majorHAnsi" w:hAnsiTheme="majorHAnsi"/>
        </w:rPr>
        <w:t xml:space="preserve"> either</w:t>
      </w:r>
      <w:r w:rsidR="00475A57">
        <w:rPr>
          <w:rFonts w:asciiTheme="majorHAnsi" w:hAnsiTheme="majorHAnsi"/>
        </w:rPr>
        <w:t xml:space="preserve"> human subject participant incentives </w:t>
      </w:r>
      <w:r>
        <w:rPr>
          <w:rFonts w:asciiTheme="majorHAnsi" w:hAnsiTheme="majorHAnsi"/>
        </w:rPr>
        <w:t xml:space="preserve">OR non-human subjects/non-employee </w:t>
      </w:r>
      <w:r w:rsidR="003A500E">
        <w:rPr>
          <w:rFonts w:asciiTheme="majorHAnsi" w:hAnsiTheme="majorHAnsi"/>
        </w:rPr>
        <w:t>gifts</w:t>
      </w:r>
      <w:r w:rsidR="00475A57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>However, depending on who will be receiving the cards, the instructions may vary.</w:t>
      </w:r>
      <w:r w:rsidR="004E72C9">
        <w:rPr>
          <w:rFonts w:asciiTheme="majorHAnsi" w:hAnsiTheme="majorHAnsi"/>
        </w:rPr>
        <w:t xml:space="preserve"> None of the instructions below apply to gift card requests for employee recognition (instead, please refer to the </w:t>
      </w:r>
      <w:hyperlink r:id="rId7" w:history="1">
        <w:r w:rsidR="004E72C9" w:rsidRPr="00475A57">
          <w:rPr>
            <w:rStyle w:val="Hyperlink"/>
            <w:rFonts w:asciiTheme="majorHAnsi" w:hAnsiTheme="majorHAnsi"/>
          </w:rPr>
          <w:t>UCOP Policy on Employee Non-Cash Awards and Other Gifts</w:t>
        </w:r>
      </w:hyperlink>
      <w:r w:rsidR="004E72C9">
        <w:rPr>
          <w:rFonts w:asciiTheme="majorHAnsi" w:hAnsiTheme="majorHAnsi"/>
        </w:rPr>
        <w:t xml:space="preserve"> for further instructions).  </w:t>
      </w:r>
    </w:p>
    <w:p w14:paraId="5479688A" w14:textId="0C7B69D6" w:rsidR="004E129D" w:rsidRDefault="004E129D" w:rsidP="00475A57">
      <w:pPr>
        <w:rPr>
          <w:rFonts w:asciiTheme="majorHAnsi" w:hAnsiTheme="majorHAnsi"/>
        </w:rPr>
      </w:pPr>
      <w:r>
        <w:rPr>
          <w:rFonts w:asciiTheme="majorHAnsi" w:hAnsiTheme="majorHAnsi"/>
        </w:rPr>
        <w:t>The latest full</w:t>
      </w:r>
      <w:r w:rsidR="00475A57" w:rsidRPr="003A4A41">
        <w:rPr>
          <w:rFonts w:asciiTheme="majorHAnsi" w:hAnsiTheme="majorHAnsi"/>
        </w:rPr>
        <w:t xml:space="preserve"> guidelines regarding </w:t>
      </w:r>
      <w:r w:rsidR="004E72C9">
        <w:rPr>
          <w:rFonts w:asciiTheme="majorHAnsi" w:hAnsiTheme="majorHAnsi"/>
        </w:rPr>
        <w:t>disbursement requests</w:t>
      </w:r>
      <w:r w:rsidR="00475A57" w:rsidRPr="003A4A4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can be found</w:t>
      </w:r>
      <w:r w:rsidR="00475A57" w:rsidRPr="003A4A41">
        <w:rPr>
          <w:rFonts w:asciiTheme="majorHAnsi" w:hAnsiTheme="majorHAnsi"/>
        </w:rPr>
        <w:t xml:space="preserve"> </w:t>
      </w:r>
      <w:r w:rsidR="00475A57">
        <w:rPr>
          <w:rFonts w:asciiTheme="majorHAnsi" w:hAnsiTheme="majorHAnsi"/>
        </w:rPr>
        <w:t>on</w:t>
      </w:r>
      <w:r w:rsidR="00475A57" w:rsidRPr="003A4A41">
        <w:rPr>
          <w:rFonts w:asciiTheme="majorHAnsi" w:hAnsiTheme="majorHAnsi"/>
        </w:rPr>
        <w:t xml:space="preserve"> the</w:t>
      </w:r>
      <w:r>
        <w:rPr>
          <w:rFonts w:asciiTheme="majorHAnsi" w:hAnsiTheme="majorHAnsi"/>
        </w:rPr>
        <w:t xml:space="preserve"> Payment Solutions and Compliance website, and we encourage you to review that information thoroughly: </w:t>
      </w:r>
    </w:p>
    <w:p w14:paraId="0CCC1938" w14:textId="7EC23B13" w:rsidR="004E129D" w:rsidRDefault="004E129D" w:rsidP="00475A5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hyperlink r:id="rId8" w:history="1">
        <w:r w:rsidRPr="004E129D">
          <w:rPr>
            <w:rStyle w:val="Hyperlink"/>
            <w:rFonts w:asciiTheme="majorHAnsi" w:hAnsiTheme="majorHAnsi"/>
          </w:rPr>
          <w:t>Human Subject Research Payment Requests</w:t>
        </w:r>
      </w:hyperlink>
    </w:p>
    <w:p w14:paraId="74D594AF" w14:textId="7DCD8E7C" w:rsidR="004E129D" w:rsidRDefault="004E129D" w:rsidP="004E72C9">
      <w:pPr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hyperlink r:id="rId9" w:history="1">
        <w:r w:rsidRPr="004E129D">
          <w:rPr>
            <w:rStyle w:val="Hyperlink"/>
            <w:rFonts w:asciiTheme="majorHAnsi" w:hAnsiTheme="majorHAnsi"/>
          </w:rPr>
          <w:t>Non-Human Subjects and Non-Employee Incentive Disbursement Requests</w:t>
        </w:r>
      </w:hyperlink>
      <w:r w:rsidR="004E72C9">
        <w:rPr>
          <w:rFonts w:asciiTheme="majorHAnsi" w:hAnsiTheme="majorHAnsi"/>
        </w:rPr>
        <w:t xml:space="preserve"> (and we also encourage you to review the University policies regarding </w:t>
      </w:r>
      <w:hyperlink r:id="rId10" w:history="1">
        <w:r w:rsidR="004E72C9" w:rsidRPr="008725B8">
          <w:rPr>
            <w:rStyle w:val="Hyperlink"/>
            <w:rFonts w:asciiTheme="majorHAnsi" w:hAnsiTheme="majorHAnsi"/>
          </w:rPr>
          <w:t>gifts/prizes presented to non-employees</w:t>
        </w:r>
      </w:hyperlink>
      <w:r w:rsidR="004E72C9">
        <w:rPr>
          <w:rFonts w:asciiTheme="majorHAnsi" w:hAnsiTheme="majorHAnsi"/>
        </w:rPr>
        <w:t xml:space="preserve"> before proceeding)</w:t>
      </w:r>
    </w:p>
    <w:p w14:paraId="3FFB6B43" w14:textId="16179F20" w:rsidR="00475A57" w:rsidRDefault="004E129D" w:rsidP="00475A57">
      <w:pPr>
        <w:rPr>
          <w:rFonts w:asciiTheme="majorHAnsi" w:hAnsiTheme="majorHAnsi"/>
        </w:rPr>
      </w:pPr>
      <w:r>
        <w:t>We have also provided the following guidelines</w:t>
      </w:r>
      <w:r w:rsidR="00475A57">
        <w:rPr>
          <w:rFonts w:asciiTheme="majorHAnsi" w:hAnsiTheme="majorHAnsi"/>
        </w:rPr>
        <w:t>:</w:t>
      </w:r>
    </w:p>
    <w:p w14:paraId="5073F636" w14:textId="543F1135" w:rsidR="00475A57" w:rsidRDefault="00111350" w:rsidP="7E9D2390">
      <w:pPr>
        <w:pStyle w:val="ListParagraph"/>
        <w:numPr>
          <w:ilvl w:val="0"/>
          <w:numId w:val="1"/>
        </w:numPr>
        <w:spacing w:after="120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 xml:space="preserve">If you are ordering gift cards/e-codes for Human Subject Payments, </w:t>
      </w:r>
      <w:r w:rsidR="00475A57" w:rsidRPr="7E9D2390">
        <w:rPr>
          <w:rFonts w:asciiTheme="majorHAnsi" w:hAnsiTheme="majorHAnsi"/>
          <w:b/>
          <w:bCs/>
        </w:rPr>
        <w:t>IRB approval is required</w:t>
      </w:r>
      <w:r>
        <w:rPr>
          <w:rFonts w:asciiTheme="majorHAnsi" w:hAnsiTheme="majorHAnsi"/>
          <w:b/>
          <w:bCs/>
        </w:rPr>
        <w:t xml:space="preserve"> before you can proceed.</w:t>
      </w:r>
      <w:r w:rsidR="00475A57" w:rsidRPr="7E9D2390">
        <w:rPr>
          <w:rFonts w:asciiTheme="majorHAnsi" w:hAnsiTheme="majorHAnsi"/>
        </w:rPr>
        <w:t xml:space="preserve"> </w:t>
      </w:r>
    </w:p>
    <w:p w14:paraId="30B0F344" w14:textId="77777777" w:rsidR="00046CCC" w:rsidRPr="00046CCC" w:rsidRDefault="00475A57" w:rsidP="00475A57">
      <w:pPr>
        <w:pStyle w:val="ListParagraph"/>
        <w:numPr>
          <w:ilvl w:val="0"/>
          <w:numId w:val="1"/>
        </w:numP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Your </w:t>
      </w:r>
      <w:r w:rsidRPr="005307AE">
        <w:rPr>
          <w:rFonts w:asciiTheme="majorHAnsi" w:hAnsiTheme="majorHAnsi"/>
          <w:b/>
        </w:rPr>
        <w:t>team must be in compliance</w:t>
      </w:r>
      <w:r>
        <w:rPr>
          <w:rFonts w:asciiTheme="majorHAnsi" w:hAnsiTheme="majorHAnsi"/>
        </w:rPr>
        <w:t xml:space="preserve"> with</w:t>
      </w:r>
      <w:r>
        <w:rPr>
          <w:rFonts w:ascii="Helvetica" w:hAnsi="Helvetica" w:cs="Helvetica"/>
          <w:color w:val="555555"/>
          <w:shd w:val="clear" w:color="auto" w:fill="FFFFFF"/>
        </w:rPr>
        <w:t> </w:t>
      </w:r>
      <w:hyperlink r:id="rId11" w:tgtFrame="_blank" w:history="1">
        <w:r w:rsidRPr="003A4A41">
          <w:rPr>
            <w:rStyle w:val="Hyperlink"/>
            <w:rFonts w:asciiTheme="majorHAnsi" w:hAnsiTheme="majorHAnsi" w:cs="Helvetica"/>
            <w:color w:val="266690"/>
            <w:shd w:val="clear" w:color="auto" w:fill="FFFFFF"/>
          </w:rPr>
          <w:t>BUS-49</w:t>
        </w:r>
      </w:hyperlink>
      <w:r w:rsidRPr="003A4A41">
        <w:rPr>
          <w:rFonts w:asciiTheme="majorHAnsi" w:hAnsiTheme="majorHAnsi" w:cs="Helvetica"/>
          <w:color w:val="555555"/>
          <w:shd w:val="clear" w:color="auto" w:fill="FFFFFF"/>
        </w:rPr>
        <w:t> </w:t>
      </w:r>
      <w:r w:rsidRPr="003A4A41">
        <w:rPr>
          <w:rFonts w:asciiTheme="majorHAnsi" w:hAnsiTheme="majorHAnsi" w:cs="Helvetica"/>
          <w:shd w:val="clear" w:color="auto" w:fill="FFFFFF"/>
        </w:rPr>
        <w:t>(Policy for Cash and Cash Equivalent Received), </w:t>
      </w:r>
      <w:hyperlink r:id="rId12" w:tgtFrame="_blank" w:history="1">
        <w:r w:rsidRPr="003A4A41">
          <w:rPr>
            <w:rStyle w:val="Hyperlink"/>
            <w:rFonts w:asciiTheme="majorHAnsi" w:hAnsiTheme="majorHAnsi" w:cs="Helvetica"/>
            <w:color w:val="266690"/>
            <w:shd w:val="clear" w:color="auto" w:fill="FFFFFF"/>
          </w:rPr>
          <w:t>UCLA Policy 361</w:t>
        </w:r>
      </w:hyperlink>
      <w:r w:rsidRPr="003A4A41">
        <w:rPr>
          <w:rFonts w:asciiTheme="majorHAnsi" w:hAnsiTheme="majorHAnsi" w:cs="Helvetica"/>
          <w:color w:val="555555"/>
          <w:shd w:val="clear" w:color="auto" w:fill="FFFFFF"/>
        </w:rPr>
        <w:t> </w:t>
      </w:r>
      <w:r w:rsidRPr="003A4A41">
        <w:rPr>
          <w:rFonts w:asciiTheme="majorHAnsi" w:hAnsiTheme="majorHAnsi" w:cs="Helvetica"/>
          <w:shd w:val="clear" w:color="auto" w:fill="FFFFFF"/>
        </w:rPr>
        <w:t>(Cash Handling and Security), and </w:t>
      </w:r>
      <w:hyperlink r:id="rId13" w:history="1">
        <w:r w:rsidRPr="003A4A41">
          <w:rPr>
            <w:rStyle w:val="Hyperlink"/>
            <w:rFonts w:asciiTheme="majorHAnsi" w:hAnsiTheme="majorHAnsi" w:cs="Helvetica"/>
            <w:color w:val="266690"/>
            <w:shd w:val="clear" w:color="auto" w:fill="FFFFFF"/>
          </w:rPr>
          <w:t>UCLA Safe Requirements</w:t>
        </w:r>
      </w:hyperlink>
      <w:r w:rsidRPr="003A4A41">
        <w:rPr>
          <w:rFonts w:asciiTheme="majorHAnsi" w:hAnsiTheme="majorHAnsi" w:cs="Helvetica"/>
          <w:color w:val="555555"/>
          <w:shd w:val="clear" w:color="auto" w:fill="FFFFFF"/>
        </w:rPr>
        <w:t> </w:t>
      </w:r>
      <w:r w:rsidRPr="003A4A41">
        <w:rPr>
          <w:rFonts w:asciiTheme="majorHAnsi" w:hAnsiTheme="majorHAnsi" w:cs="Helvetica"/>
          <w:shd w:val="clear" w:color="auto" w:fill="FFFFFF"/>
        </w:rPr>
        <w:t>(if storing cash/</w:t>
      </w:r>
      <w:r w:rsidR="00046CCC">
        <w:rPr>
          <w:rFonts w:asciiTheme="majorHAnsi" w:hAnsiTheme="majorHAnsi" w:cs="Helvetica"/>
          <w:shd w:val="clear" w:color="auto" w:fill="FFFFFF"/>
        </w:rPr>
        <w:t>or physical</w:t>
      </w:r>
      <w:r>
        <w:rPr>
          <w:rFonts w:asciiTheme="majorHAnsi" w:hAnsiTheme="majorHAnsi" w:cs="Helvetica"/>
          <w:shd w:val="clear" w:color="auto" w:fill="FFFFFF"/>
        </w:rPr>
        <w:t xml:space="preserve"> </w:t>
      </w:r>
      <w:r w:rsidRPr="003A4A41">
        <w:rPr>
          <w:rFonts w:asciiTheme="majorHAnsi" w:hAnsiTheme="majorHAnsi" w:cs="Helvetica"/>
          <w:shd w:val="clear" w:color="auto" w:fill="FFFFFF"/>
        </w:rPr>
        <w:t>gift cards)</w:t>
      </w:r>
      <w:r>
        <w:rPr>
          <w:rFonts w:asciiTheme="majorHAnsi" w:hAnsiTheme="majorHAnsi" w:cs="Helvetica"/>
          <w:shd w:val="clear" w:color="auto" w:fill="FFFFFF"/>
        </w:rPr>
        <w:t xml:space="preserve">. </w:t>
      </w:r>
    </w:p>
    <w:p w14:paraId="1BE3CA7C" w14:textId="24ADEBAE" w:rsidR="00475A57" w:rsidRPr="003A4A41" w:rsidRDefault="00046CCC" w:rsidP="00475A57">
      <w:pPr>
        <w:pStyle w:val="ListParagraph"/>
        <w:numPr>
          <w:ilvl w:val="0"/>
          <w:numId w:val="1"/>
        </w:numPr>
        <w:spacing w:after="120"/>
        <w:rPr>
          <w:rFonts w:asciiTheme="majorHAnsi" w:hAnsiTheme="majorHAnsi"/>
        </w:rPr>
      </w:pPr>
      <w:r>
        <w:rPr>
          <w:rFonts w:asciiTheme="majorHAnsi" w:hAnsiTheme="majorHAnsi" w:cs="Helvetica"/>
          <w:shd w:val="clear" w:color="auto" w:fill="FFFFFF"/>
        </w:rPr>
        <w:t xml:space="preserve">For both physical cards and e-codes, </w:t>
      </w:r>
      <w:r w:rsidR="00475A57">
        <w:rPr>
          <w:rFonts w:asciiTheme="majorHAnsi" w:hAnsiTheme="majorHAnsi" w:cs="Helvetica"/>
          <w:shd w:val="clear" w:color="auto" w:fill="FFFFFF"/>
        </w:rPr>
        <w:t>you are responsible for kee</w:t>
      </w:r>
      <w:r w:rsidR="00020547">
        <w:rPr>
          <w:rFonts w:asciiTheme="majorHAnsi" w:hAnsiTheme="majorHAnsi" w:cs="Helvetica"/>
          <w:shd w:val="clear" w:color="auto" w:fill="FFFFFF"/>
        </w:rPr>
        <w:t xml:space="preserve">ping your own records and must </w:t>
      </w:r>
      <w:r w:rsidR="00475A57">
        <w:rPr>
          <w:rFonts w:asciiTheme="majorHAnsi" w:hAnsiTheme="majorHAnsi" w:cs="Helvetica"/>
          <w:shd w:val="clear" w:color="auto" w:fill="FFFFFF"/>
        </w:rPr>
        <w:t>ensur</w:t>
      </w:r>
      <w:r w:rsidR="00020547">
        <w:rPr>
          <w:rFonts w:asciiTheme="majorHAnsi" w:hAnsiTheme="majorHAnsi" w:cs="Helvetica"/>
          <w:shd w:val="clear" w:color="auto" w:fill="FFFFFF"/>
        </w:rPr>
        <w:t>e</w:t>
      </w:r>
      <w:r w:rsidR="00475A57">
        <w:rPr>
          <w:rFonts w:asciiTheme="majorHAnsi" w:hAnsiTheme="majorHAnsi" w:cs="Helvetica"/>
          <w:shd w:val="clear" w:color="auto" w:fill="FFFFFF"/>
        </w:rPr>
        <w:t xml:space="preserve"> that all documentation is password-protected for </w:t>
      </w:r>
      <w:r w:rsidR="00336854">
        <w:rPr>
          <w:rFonts w:asciiTheme="majorHAnsi" w:hAnsiTheme="majorHAnsi" w:cs="Helvetica"/>
          <w:shd w:val="clear" w:color="auto" w:fill="FFFFFF"/>
        </w:rPr>
        <w:t xml:space="preserve">security and </w:t>
      </w:r>
      <w:r w:rsidR="00475A57">
        <w:rPr>
          <w:rFonts w:asciiTheme="majorHAnsi" w:hAnsiTheme="majorHAnsi" w:cs="Helvetica"/>
          <w:shd w:val="clear" w:color="auto" w:fill="FFFFFF"/>
        </w:rPr>
        <w:t xml:space="preserve">HIPAA-compliance. </w:t>
      </w:r>
      <w:r w:rsidR="00020547">
        <w:rPr>
          <w:rFonts w:asciiTheme="majorHAnsi" w:hAnsiTheme="majorHAnsi" w:cs="Helvetica"/>
          <w:shd w:val="clear" w:color="auto" w:fill="FFFFFF"/>
        </w:rPr>
        <w:t>At the very least, your records should track who received the card/code, when, and for how much.</w:t>
      </w:r>
    </w:p>
    <w:p w14:paraId="468C2394" w14:textId="360BAE3D" w:rsidR="00475A57" w:rsidRPr="003A4A41" w:rsidRDefault="00475A57" w:rsidP="00475A57">
      <w:pPr>
        <w:pStyle w:val="ListParagraph"/>
        <w:numPr>
          <w:ilvl w:val="0"/>
          <w:numId w:val="1"/>
        </w:numPr>
        <w:spacing w:after="120"/>
        <w:rPr>
          <w:rFonts w:asciiTheme="majorHAnsi" w:hAnsiTheme="majorHAnsi"/>
        </w:rPr>
      </w:pPr>
      <w:r>
        <w:rPr>
          <w:rFonts w:asciiTheme="majorHAnsi" w:hAnsiTheme="majorHAnsi" w:cs="Helvetica"/>
          <w:shd w:val="clear" w:color="auto" w:fill="FFFFFF"/>
        </w:rPr>
        <w:t xml:space="preserve">You must </w:t>
      </w:r>
      <w:r w:rsidRPr="005307AE">
        <w:rPr>
          <w:rFonts w:asciiTheme="majorHAnsi" w:hAnsiTheme="majorHAnsi" w:cs="Helvetica"/>
          <w:b/>
          <w:shd w:val="clear" w:color="auto" w:fill="FFFFFF"/>
        </w:rPr>
        <w:t xml:space="preserve">keep track of </w:t>
      </w:r>
      <w:r w:rsidR="00046CCC">
        <w:rPr>
          <w:rFonts w:asciiTheme="majorHAnsi" w:hAnsiTheme="majorHAnsi" w:cs="Helvetica"/>
          <w:b/>
          <w:shd w:val="clear" w:color="auto" w:fill="FFFFFF"/>
        </w:rPr>
        <w:t xml:space="preserve">total </w:t>
      </w:r>
      <w:r w:rsidRPr="005307AE">
        <w:rPr>
          <w:rFonts w:asciiTheme="majorHAnsi" w:hAnsiTheme="majorHAnsi" w:cs="Helvetica"/>
          <w:b/>
          <w:shd w:val="clear" w:color="auto" w:fill="FFFFFF"/>
        </w:rPr>
        <w:t>payments made to each participant</w:t>
      </w:r>
      <w:r w:rsidR="00111350">
        <w:rPr>
          <w:rFonts w:asciiTheme="majorHAnsi" w:hAnsiTheme="majorHAnsi" w:cs="Helvetica"/>
          <w:b/>
          <w:shd w:val="clear" w:color="auto" w:fill="FFFFFF"/>
        </w:rPr>
        <w:t>/recipient</w:t>
      </w:r>
      <w:r w:rsidR="00046CCC">
        <w:rPr>
          <w:rFonts w:asciiTheme="majorHAnsi" w:hAnsiTheme="majorHAnsi" w:cs="Helvetica"/>
          <w:b/>
          <w:shd w:val="clear" w:color="auto" w:fill="FFFFFF"/>
        </w:rPr>
        <w:t xml:space="preserve"> </w:t>
      </w:r>
      <w:r w:rsidR="00020547">
        <w:rPr>
          <w:rFonts w:asciiTheme="majorHAnsi" w:hAnsiTheme="majorHAnsi" w:cs="Helvetica"/>
          <w:b/>
          <w:shd w:val="clear" w:color="auto" w:fill="FFFFFF"/>
        </w:rPr>
        <w:t>each</w:t>
      </w:r>
      <w:r w:rsidR="00046CCC">
        <w:rPr>
          <w:rFonts w:asciiTheme="majorHAnsi" w:hAnsiTheme="majorHAnsi" w:cs="Helvetica"/>
          <w:b/>
          <w:shd w:val="clear" w:color="auto" w:fill="FFFFFF"/>
        </w:rPr>
        <w:t xml:space="preserve"> calendar year</w:t>
      </w:r>
      <w:r>
        <w:rPr>
          <w:rFonts w:asciiTheme="majorHAnsi" w:hAnsiTheme="majorHAnsi" w:cs="Helvetica"/>
          <w:shd w:val="clear" w:color="auto" w:fill="FFFFFF"/>
        </w:rPr>
        <w:t xml:space="preserve">. </w:t>
      </w:r>
      <w:r w:rsidR="00111350">
        <w:rPr>
          <w:rFonts w:asciiTheme="majorHAnsi" w:hAnsiTheme="majorHAnsi" w:cs="Helvetica"/>
          <w:shd w:val="clear" w:color="auto" w:fill="FFFFFF"/>
        </w:rPr>
        <w:t>This mostly applies to human subject payment recipients.</w:t>
      </w:r>
    </w:p>
    <w:p w14:paraId="7C775193" w14:textId="77777777" w:rsidR="00475A57" w:rsidRPr="003A4A41" w:rsidRDefault="00475A57" w:rsidP="00020547">
      <w:pPr>
        <w:pStyle w:val="ListParagraph"/>
        <w:numPr>
          <w:ilvl w:val="1"/>
          <w:numId w:val="1"/>
        </w:numPr>
        <w:spacing w:after="120"/>
        <w:ind w:left="1530"/>
        <w:rPr>
          <w:rFonts w:asciiTheme="majorHAnsi" w:hAnsiTheme="majorHAnsi"/>
        </w:rPr>
      </w:pPr>
      <w:r>
        <w:rPr>
          <w:rFonts w:asciiTheme="majorHAnsi" w:hAnsiTheme="majorHAnsi" w:cs="Helvetica"/>
          <w:shd w:val="clear" w:color="auto" w:fill="FFFFFF"/>
        </w:rPr>
        <w:t xml:space="preserve">If a participant receives $600 or more within the calendar year, you must collect their W-9 form. </w:t>
      </w:r>
    </w:p>
    <w:p w14:paraId="69CAD86E" w14:textId="66BD64D9" w:rsidR="00475A57" w:rsidRPr="003A4A41" w:rsidRDefault="00336854" w:rsidP="00020547">
      <w:pPr>
        <w:pStyle w:val="ListParagraph"/>
        <w:numPr>
          <w:ilvl w:val="1"/>
          <w:numId w:val="1"/>
        </w:numPr>
        <w:spacing w:after="120"/>
        <w:ind w:left="1530"/>
        <w:rPr>
          <w:rFonts w:asciiTheme="majorHAnsi" w:hAnsiTheme="majorHAnsi"/>
        </w:rPr>
      </w:pPr>
      <w:r>
        <w:rPr>
          <w:rFonts w:asciiTheme="majorHAnsi" w:hAnsiTheme="majorHAnsi" w:cs="Helvetica"/>
          <w:shd w:val="clear" w:color="auto" w:fill="FFFFFF"/>
        </w:rPr>
        <w:t xml:space="preserve">For any participant who received </w:t>
      </w:r>
      <w:r w:rsidR="00475A57" w:rsidRPr="7E9D2390">
        <w:rPr>
          <w:rFonts w:asciiTheme="majorHAnsi" w:hAnsiTheme="majorHAnsi" w:cs="Helvetica"/>
          <w:shd w:val="clear" w:color="auto" w:fill="FFFFFF"/>
        </w:rPr>
        <w:t>$600 or more</w:t>
      </w:r>
      <w:r>
        <w:rPr>
          <w:rFonts w:asciiTheme="majorHAnsi" w:hAnsiTheme="majorHAnsi" w:cs="Helvetica"/>
          <w:shd w:val="clear" w:color="auto" w:fill="FFFFFF"/>
        </w:rPr>
        <w:t>*</w:t>
      </w:r>
      <w:r w:rsidR="00475A57" w:rsidRPr="7E9D2390">
        <w:rPr>
          <w:rFonts w:asciiTheme="majorHAnsi" w:hAnsiTheme="majorHAnsi" w:cs="Helvetica"/>
          <w:shd w:val="clear" w:color="auto" w:fill="FFFFFF"/>
        </w:rPr>
        <w:t xml:space="preserve">, </w:t>
      </w:r>
      <w:r>
        <w:rPr>
          <w:rFonts w:asciiTheme="majorHAnsi" w:hAnsiTheme="majorHAnsi" w:cs="Helvetica"/>
          <w:shd w:val="clear" w:color="auto" w:fill="FFFFFF"/>
        </w:rPr>
        <w:t xml:space="preserve">you must provide </w:t>
      </w:r>
      <w:r w:rsidRPr="7E9D2390">
        <w:rPr>
          <w:rFonts w:asciiTheme="majorHAnsi" w:hAnsiTheme="majorHAnsi" w:cs="Helvetica"/>
          <w:shd w:val="clear" w:color="auto" w:fill="FFFFFF"/>
        </w:rPr>
        <w:t xml:space="preserve">Accounts Payable </w:t>
      </w:r>
      <w:r>
        <w:rPr>
          <w:rFonts w:asciiTheme="majorHAnsi" w:hAnsiTheme="majorHAnsi" w:cs="Helvetica"/>
          <w:shd w:val="clear" w:color="auto" w:fill="FFFFFF"/>
        </w:rPr>
        <w:t>with their name, address, payment total</w:t>
      </w:r>
      <w:r w:rsidR="00475A57" w:rsidRPr="7E9D2390">
        <w:rPr>
          <w:rFonts w:asciiTheme="majorHAnsi" w:hAnsiTheme="majorHAnsi" w:cs="Helvetica"/>
          <w:shd w:val="clear" w:color="auto" w:fill="FFFFFF"/>
        </w:rPr>
        <w:t>, and W-9</w:t>
      </w:r>
      <w:r>
        <w:rPr>
          <w:rFonts w:asciiTheme="majorHAnsi" w:hAnsiTheme="majorHAnsi" w:cs="Helvetica"/>
          <w:shd w:val="clear" w:color="auto" w:fill="FFFFFF"/>
        </w:rPr>
        <w:t xml:space="preserve">. No other information (especially protected information) should be sent. This information must </w:t>
      </w:r>
      <w:r w:rsidR="00475A57" w:rsidRPr="7E9D2390">
        <w:rPr>
          <w:rFonts w:asciiTheme="majorHAnsi" w:hAnsiTheme="majorHAnsi" w:cs="Helvetica"/>
          <w:shd w:val="clear" w:color="auto" w:fill="FFFFFF"/>
        </w:rPr>
        <w:t xml:space="preserve">be submitted </w:t>
      </w:r>
      <w:r>
        <w:rPr>
          <w:rFonts w:asciiTheme="majorHAnsi" w:hAnsiTheme="majorHAnsi" w:cs="Helvetica"/>
          <w:shd w:val="clear" w:color="auto" w:fill="FFFFFF"/>
        </w:rPr>
        <w:t>prior to winter closure</w:t>
      </w:r>
      <w:r w:rsidR="00475A57" w:rsidRPr="7E9D2390">
        <w:rPr>
          <w:rFonts w:asciiTheme="majorHAnsi" w:hAnsiTheme="majorHAnsi" w:cs="Helvetica"/>
          <w:shd w:val="clear" w:color="auto" w:fill="FFFFFF"/>
        </w:rPr>
        <w:t xml:space="preserve"> each calendar year. We are not allowed to email W-9s due to security concerns, and they will only accept mailed version if they are sent via courier. Therefore, please </w:t>
      </w:r>
      <w:r>
        <w:rPr>
          <w:rFonts w:asciiTheme="majorHAnsi" w:hAnsiTheme="majorHAnsi" w:cs="Helvetica"/>
          <w:shd w:val="clear" w:color="auto" w:fill="FFFFFF"/>
        </w:rPr>
        <w:t xml:space="preserve">deliver yourself or </w:t>
      </w:r>
      <w:r w:rsidR="00475A57" w:rsidRPr="7E9D2390">
        <w:rPr>
          <w:rFonts w:asciiTheme="majorHAnsi" w:hAnsiTheme="majorHAnsi" w:cs="Helvetica"/>
          <w:shd w:val="clear" w:color="auto" w:fill="FFFFFF"/>
        </w:rPr>
        <w:t>work with the Purchaser to arrange for Mail Document and Distribution Services (MDSS) to deliver. You must complete the packet (list</w:t>
      </w:r>
      <w:r>
        <w:rPr>
          <w:rFonts w:asciiTheme="majorHAnsi" w:hAnsiTheme="majorHAnsi" w:cs="Helvetica"/>
          <w:shd w:val="clear" w:color="auto" w:fill="FFFFFF"/>
        </w:rPr>
        <w:t xml:space="preserve"> of names, addresses</w:t>
      </w:r>
      <w:r w:rsidR="00475A57" w:rsidRPr="7E9D2390">
        <w:rPr>
          <w:rFonts w:asciiTheme="majorHAnsi" w:hAnsiTheme="majorHAnsi" w:cs="Helvetica"/>
          <w:shd w:val="clear" w:color="auto" w:fill="FFFFFF"/>
        </w:rPr>
        <w:t>, amounts paid, and the accompanying W-9s) and then provide the FAU/recharge to the Purchaser so that s/he can place the internal order for delivery and charge the FAU accordingly.  (If you have any questions about this process, you can reach out to</w:t>
      </w:r>
      <w:r>
        <w:rPr>
          <w:rFonts w:asciiTheme="majorHAnsi" w:hAnsiTheme="majorHAnsi" w:cs="Helvetica"/>
          <w:shd w:val="clear" w:color="auto" w:fill="FFFFFF"/>
        </w:rPr>
        <w:t xml:space="preserve"> Accounts Payable at </w:t>
      </w:r>
      <w:hyperlink r:id="rId14" w:history="1">
        <w:r w:rsidRPr="00455D62">
          <w:rPr>
            <w:rStyle w:val="Hyperlink"/>
            <w:highlight w:val="white"/>
          </w:rPr>
          <w:t>aptax@finance.ucla.edu</w:t>
        </w:r>
      </w:hyperlink>
      <w:r>
        <w:rPr>
          <w:color w:val="333333"/>
        </w:rPr>
        <w:t>).</w:t>
      </w:r>
    </w:p>
    <w:p w14:paraId="30E0FBA5" w14:textId="77777777" w:rsidR="00475A57" w:rsidRPr="003A4A41" w:rsidRDefault="00475A57" w:rsidP="00020547">
      <w:pPr>
        <w:pStyle w:val="ListParagraph"/>
        <w:numPr>
          <w:ilvl w:val="1"/>
          <w:numId w:val="1"/>
        </w:numPr>
        <w:spacing w:after="120"/>
        <w:ind w:left="1530"/>
        <w:rPr>
          <w:rFonts w:asciiTheme="majorHAnsi" w:hAnsiTheme="majorHAnsi"/>
        </w:rPr>
      </w:pPr>
      <w:r>
        <w:rPr>
          <w:rFonts w:asciiTheme="majorHAnsi" w:hAnsiTheme="majorHAnsi" w:cs="Helvetica"/>
          <w:shd w:val="clear" w:color="auto" w:fill="FFFFFF"/>
        </w:rPr>
        <w:lastRenderedPageBreak/>
        <w:t xml:space="preserve">AP will then make sure that a 1099 is issued to each participant who was paid $600 or more during the calendar year. </w:t>
      </w:r>
    </w:p>
    <w:p w14:paraId="7ED1CABD" w14:textId="0AD2B752" w:rsidR="00475A57" w:rsidRPr="005307AE" w:rsidRDefault="00336854" w:rsidP="00020547">
      <w:pPr>
        <w:pStyle w:val="ListParagraph"/>
        <w:numPr>
          <w:ilvl w:val="1"/>
          <w:numId w:val="1"/>
        </w:numPr>
        <w:spacing w:after="120"/>
        <w:ind w:left="1530"/>
        <w:rPr>
          <w:rFonts w:asciiTheme="majorHAnsi" w:hAnsiTheme="majorHAnsi"/>
        </w:rPr>
      </w:pPr>
      <w:r>
        <w:rPr>
          <w:rFonts w:asciiTheme="majorHAnsi" w:hAnsiTheme="majorHAnsi" w:cs="Helvetica"/>
          <w:shd w:val="clear" w:color="auto" w:fill="FFFFFF"/>
        </w:rPr>
        <w:t>*</w:t>
      </w:r>
      <w:r w:rsidR="00475A57">
        <w:rPr>
          <w:rFonts w:asciiTheme="majorHAnsi" w:hAnsiTheme="majorHAnsi" w:cs="Helvetica"/>
          <w:shd w:val="clear" w:color="auto" w:fill="FFFFFF"/>
        </w:rPr>
        <w:t>If the participants were paid via check request, then Accounting will handle 1099 disbursement automatically. If they were paid via cash, gift card, or e-gift card, then you are responsible for making sure AP has the list, totals, and W-9s for all participants that meet the $600 payment threshold.</w:t>
      </w:r>
    </w:p>
    <w:p w14:paraId="30B68F48" w14:textId="71C21B57" w:rsidR="00556FC9" w:rsidRPr="00556FC9" w:rsidRDefault="00046CCC" w:rsidP="00556FC9">
      <w:pPr>
        <w:pStyle w:val="ListParagraph"/>
        <w:numPr>
          <w:ilvl w:val="0"/>
          <w:numId w:val="1"/>
        </w:numPr>
        <w:spacing w:after="120"/>
      </w:pPr>
      <w:r>
        <w:rPr>
          <w:rFonts w:asciiTheme="majorHAnsi" w:hAnsiTheme="majorHAnsi"/>
        </w:rPr>
        <w:t>P</w:t>
      </w:r>
      <w:r w:rsidR="00475A57" w:rsidRPr="7E9D2390">
        <w:rPr>
          <w:rFonts w:asciiTheme="majorHAnsi" w:hAnsiTheme="majorHAnsi"/>
        </w:rPr>
        <w:t xml:space="preserve">lease review the </w:t>
      </w:r>
      <w:hyperlink r:id="rId15">
        <w:r w:rsidR="00475A57" w:rsidRPr="7E9D2390">
          <w:rPr>
            <w:rStyle w:val="Hyperlink"/>
            <w:rFonts w:asciiTheme="majorHAnsi" w:hAnsiTheme="majorHAnsi"/>
          </w:rPr>
          <w:t>Gift Card Guide</w:t>
        </w:r>
      </w:hyperlink>
      <w:r w:rsidR="00475A57" w:rsidRPr="7E9D2390">
        <w:rPr>
          <w:rFonts w:asciiTheme="majorHAnsi" w:hAnsiTheme="majorHAnsi"/>
        </w:rPr>
        <w:t xml:space="preserve">. </w:t>
      </w:r>
      <w:r w:rsidR="00556FC9">
        <w:rPr>
          <w:rFonts w:asciiTheme="majorHAnsi" w:hAnsiTheme="majorHAnsi"/>
        </w:rPr>
        <w:t>Determine if you want to purchase physical gift cards or e-codes. There are pros and cons to either, so discuss with your PI to determine the best option.</w:t>
      </w:r>
    </w:p>
    <w:p w14:paraId="40A0C3AF" w14:textId="1238BB83" w:rsidR="00475A57" w:rsidRPr="00046CCC" w:rsidRDefault="00556FC9" w:rsidP="00556FC9">
      <w:pPr>
        <w:pStyle w:val="ListParagraph"/>
        <w:numPr>
          <w:ilvl w:val="1"/>
          <w:numId w:val="1"/>
        </w:numPr>
        <w:spacing w:after="120"/>
      </w:pPr>
      <w:r w:rsidRPr="00556FC9">
        <w:rPr>
          <w:rFonts w:asciiTheme="majorHAnsi" w:hAnsiTheme="majorHAnsi"/>
          <w:b/>
        </w:rPr>
        <w:t>Physical Gift Cards</w:t>
      </w:r>
      <w:r>
        <w:rPr>
          <w:rFonts w:asciiTheme="majorHAnsi" w:hAnsiTheme="majorHAnsi"/>
        </w:rPr>
        <w:t xml:space="preserve">: Pros: are often refundable, often faster to receive because Payment Solutions keeps a stockpile of cards on hand, may be a more equitable/accessible choice for research populations that do not have regular access to a computer/the internet (e.g. homeless populations). Cons: Limited to certain denominations, may be extra fees for delivery/shipping, requires compliance with physical storage requirements (e.g. lockbox or safe). </w:t>
      </w:r>
    </w:p>
    <w:p w14:paraId="257E4079" w14:textId="34955C91" w:rsidR="00046CCC" w:rsidRPr="00040683" w:rsidRDefault="00046CCC" w:rsidP="00556FC9">
      <w:pPr>
        <w:pStyle w:val="ListParagraph"/>
        <w:numPr>
          <w:ilvl w:val="1"/>
          <w:numId w:val="1"/>
        </w:numPr>
        <w:spacing w:after="120"/>
      </w:pPr>
      <w:r>
        <w:rPr>
          <w:rFonts w:asciiTheme="majorHAnsi" w:hAnsiTheme="majorHAnsi"/>
          <w:b/>
        </w:rPr>
        <w:t>E</w:t>
      </w:r>
      <w:r w:rsidRPr="00046CCC">
        <w:rPr>
          <w:b/>
        </w:rPr>
        <w:t>-Codes</w:t>
      </w:r>
      <w:r>
        <w:t xml:space="preserve">: </w:t>
      </w:r>
      <w:r w:rsidRPr="00046CCC">
        <w:rPr>
          <w:rFonts w:asciiTheme="majorHAnsi" w:hAnsiTheme="majorHAnsi" w:cstheme="majorHAnsi"/>
        </w:rPr>
        <w:t>Pros: usually customizable for any denomination</w:t>
      </w:r>
      <w:r w:rsidR="004E72C9">
        <w:rPr>
          <w:rFonts w:asciiTheme="majorHAnsi" w:hAnsiTheme="majorHAnsi" w:cstheme="majorHAnsi"/>
        </w:rPr>
        <w:t>, do</w:t>
      </w:r>
      <w:r>
        <w:rPr>
          <w:rFonts w:asciiTheme="majorHAnsi" w:hAnsiTheme="majorHAnsi" w:cstheme="majorHAnsi"/>
        </w:rPr>
        <w:t xml:space="preserve"> not require any physical storage, no added fees for shipping/delivery. Cons: Longer processing time</w:t>
      </w:r>
      <w:r w:rsidR="004E72C9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>, not refundable.</w:t>
      </w:r>
    </w:p>
    <w:p w14:paraId="2CAC19A1" w14:textId="634D7D13" w:rsidR="00475A57" w:rsidRPr="00111350" w:rsidRDefault="00111350" w:rsidP="00111350">
      <w:pPr>
        <w:pStyle w:val="ListParagraph"/>
        <w:numPr>
          <w:ilvl w:val="0"/>
          <w:numId w:val="1"/>
        </w:numP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>For Human Subject Payment Requests, please</w:t>
      </w:r>
      <w:r w:rsidR="00475A57" w:rsidRPr="7E9D2390">
        <w:rPr>
          <w:rFonts w:asciiTheme="majorHAnsi" w:hAnsiTheme="majorHAnsi"/>
        </w:rPr>
        <w:t xml:space="preserve"> </w:t>
      </w:r>
      <w:hyperlink r:id="rId16" w:history="1">
        <w:r w:rsidR="00475A57" w:rsidRPr="00556FC9">
          <w:rPr>
            <w:rStyle w:val="Hyperlink"/>
            <w:rFonts w:asciiTheme="majorHAnsi" w:hAnsiTheme="majorHAnsi"/>
            <w:b/>
            <w:bCs/>
          </w:rPr>
          <w:t xml:space="preserve">download and complete the </w:t>
        </w:r>
        <w:r w:rsidR="00556FC9" w:rsidRPr="00556FC9">
          <w:rPr>
            <w:rStyle w:val="Hyperlink"/>
            <w:rFonts w:asciiTheme="majorHAnsi" w:hAnsiTheme="majorHAnsi"/>
            <w:b/>
            <w:bCs/>
          </w:rPr>
          <w:t>IRB Research Payment Request</w:t>
        </w:r>
      </w:hyperlink>
      <w:r w:rsidR="00475A57" w:rsidRPr="7E9D2390">
        <w:rPr>
          <w:rFonts w:asciiTheme="majorHAnsi" w:hAnsiTheme="majorHAnsi"/>
        </w:rPr>
        <w:t xml:space="preserve"> from Box.</w:t>
      </w:r>
      <w:r>
        <w:rPr>
          <w:rFonts w:asciiTheme="majorHAnsi" w:hAnsiTheme="majorHAnsi"/>
        </w:rPr>
        <w:t xml:space="preserve"> For Non-Human Subject and Non-Employee Incentive Disbursement Requests, please download and complete the </w:t>
      </w:r>
      <w:hyperlink r:id="rId17" w:history="1">
        <w:r w:rsidRPr="00111350">
          <w:rPr>
            <w:rStyle w:val="Hyperlink"/>
            <w:rFonts w:asciiTheme="majorHAnsi" w:hAnsiTheme="majorHAnsi"/>
            <w:b/>
          </w:rPr>
          <w:t>Non-Employee Disbursement Request Form</w:t>
        </w:r>
      </w:hyperlink>
      <w:r>
        <w:rPr>
          <w:rFonts w:asciiTheme="majorHAnsi" w:hAnsiTheme="majorHAnsi"/>
        </w:rPr>
        <w:t xml:space="preserve"> from Box. </w:t>
      </w:r>
    </w:p>
    <w:p w14:paraId="693AB5A3" w14:textId="593E78D0" w:rsidR="004E72C9" w:rsidRDefault="004E72C9" w:rsidP="004E72C9">
      <w:pPr>
        <w:pStyle w:val="ListParagraph"/>
        <w:numPr>
          <w:ilvl w:val="1"/>
          <w:numId w:val="1"/>
        </w:numP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>If you are ordering physical gift cards: w</w:t>
      </w:r>
      <w:r w:rsidR="00475A57" w:rsidRPr="7E9D2390">
        <w:rPr>
          <w:rFonts w:asciiTheme="majorHAnsi" w:hAnsiTheme="majorHAnsi"/>
        </w:rPr>
        <w:t>e recommend listing two employees as “Authorized Personnel” on the form. Th</w:t>
      </w:r>
      <w:r>
        <w:rPr>
          <w:rFonts w:asciiTheme="majorHAnsi" w:hAnsiTheme="majorHAnsi"/>
        </w:rPr>
        <w:t xml:space="preserve">ese are the people who are </w:t>
      </w:r>
      <w:r w:rsidR="00475A57" w:rsidRPr="7E9D2390">
        <w:rPr>
          <w:rFonts w:asciiTheme="majorHAnsi" w:hAnsiTheme="majorHAnsi"/>
        </w:rPr>
        <w:t xml:space="preserve">authorized to RECEIVE </w:t>
      </w:r>
      <w:r>
        <w:rPr>
          <w:rFonts w:asciiTheme="majorHAnsi" w:hAnsiTheme="majorHAnsi"/>
        </w:rPr>
        <w:t>and manage the cash/gift cards and</w:t>
      </w:r>
      <w:r w:rsidR="00475A57" w:rsidRPr="7E9D2390">
        <w:rPr>
          <w:rFonts w:asciiTheme="majorHAnsi" w:hAnsiTheme="majorHAnsi"/>
        </w:rPr>
        <w:t xml:space="preserve"> least one of the</w:t>
      </w:r>
      <w:r w:rsidR="00046CCC">
        <w:rPr>
          <w:rFonts w:asciiTheme="majorHAnsi" w:hAnsiTheme="majorHAnsi"/>
        </w:rPr>
        <w:t xml:space="preserve"> listed personnel</w:t>
      </w:r>
      <w:r w:rsidR="00475A57" w:rsidRPr="7E9D2390">
        <w:rPr>
          <w:rFonts w:asciiTheme="majorHAnsi" w:hAnsiTheme="majorHAnsi"/>
        </w:rPr>
        <w:t xml:space="preserve"> must be present when the armored car delivery person arrives. They will also need to have access to the </w:t>
      </w:r>
      <w:proofErr w:type="spellStart"/>
      <w:r w:rsidR="00475A57" w:rsidRPr="7E9D2390">
        <w:rPr>
          <w:rFonts w:asciiTheme="majorHAnsi" w:hAnsiTheme="majorHAnsi"/>
        </w:rPr>
        <w:t>MyUCLA</w:t>
      </w:r>
      <w:proofErr w:type="spellEnd"/>
      <w:r w:rsidR="00475A57" w:rsidRPr="7E9D2390">
        <w:rPr>
          <w:rFonts w:asciiTheme="majorHAnsi" w:hAnsiTheme="majorHAnsi"/>
        </w:rPr>
        <w:t xml:space="preserve"> Message Center</w:t>
      </w:r>
      <w:r>
        <w:rPr>
          <w:rFonts w:asciiTheme="majorHAnsi" w:hAnsiTheme="majorHAnsi"/>
        </w:rPr>
        <w:t xml:space="preserve"> to coordinate delivery</w:t>
      </w:r>
      <w:r w:rsidR="00475A57" w:rsidRPr="7E9D2390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>Also, i</w:t>
      </w:r>
      <w:r w:rsidRPr="7E9D2390">
        <w:rPr>
          <w:rFonts w:asciiTheme="majorHAnsi" w:hAnsiTheme="majorHAnsi"/>
        </w:rPr>
        <w:t xml:space="preserve">f you are requesting cash or </w:t>
      </w:r>
      <w:r>
        <w:rPr>
          <w:rFonts w:asciiTheme="majorHAnsi" w:hAnsiTheme="majorHAnsi"/>
        </w:rPr>
        <w:t xml:space="preserve">physical </w:t>
      </w:r>
      <w:r w:rsidRPr="7E9D2390">
        <w:rPr>
          <w:rFonts w:asciiTheme="majorHAnsi" w:hAnsiTheme="majorHAnsi"/>
        </w:rPr>
        <w:t>gift cards, you will need to include payment for off-campus delivery</w:t>
      </w:r>
      <w:r>
        <w:rPr>
          <w:rFonts w:asciiTheme="majorHAnsi" w:hAnsiTheme="majorHAnsi"/>
        </w:rPr>
        <w:t>/armored courier fees</w:t>
      </w:r>
      <w:r w:rsidRPr="7E9D2390">
        <w:rPr>
          <w:rFonts w:asciiTheme="majorHAnsi" w:hAnsiTheme="majorHAnsi"/>
        </w:rPr>
        <w:t xml:space="preserve">. </w:t>
      </w:r>
    </w:p>
    <w:p w14:paraId="1355A8E8" w14:textId="25976D8A" w:rsidR="00475A57" w:rsidRDefault="00475A57" w:rsidP="00475A57">
      <w:pPr>
        <w:pStyle w:val="ListParagraph"/>
        <w:numPr>
          <w:ilvl w:val="1"/>
          <w:numId w:val="1"/>
        </w:numPr>
        <w:spacing w:after="120"/>
        <w:rPr>
          <w:rFonts w:asciiTheme="majorHAnsi" w:hAnsiTheme="majorHAnsi"/>
        </w:rPr>
      </w:pPr>
      <w:r w:rsidRPr="7E9D2390">
        <w:rPr>
          <w:rFonts w:asciiTheme="majorHAnsi" w:hAnsiTheme="majorHAnsi"/>
        </w:rPr>
        <w:t xml:space="preserve">If the request exceeds $2,500, be aware that you will need to fill out </w:t>
      </w:r>
      <w:r w:rsidR="00111350">
        <w:rPr>
          <w:rFonts w:asciiTheme="majorHAnsi" w:hAnsiTheme="majorHAnsi"/>
        </w:rPr>
        <w:t>additional sections of</w:t>
      </w:r>
      <w:r w:rsidRPr="7E9D2390">
        <w:rPr>
          <w:rFonts w:asciiTheme="majorHAnsi" w:hAnsiTheme="majorHAnsi"/>
        </w:rPr>
        <w:t xml:space="preserve"> the form</w:t>
      </w:r>
      <w:r w:rsidR="00111350">
        <w:rPr>
          <w:rFonts w:asciiTheme="majorHAnsi" w:hAnsiTheme="majorHAnsi"/>
        </w:rPr>
        <w:t xml:space="preserve"> including</w:t>
      </w:r>
      <w:r w:rsidR="004E72C9">
        <w:rPr>
          <w:rFonts w:asciiTheme="majorHAnsi" w:hAnsiTheme="majorHAnsi"/>
        </w:rPr>
        <w:t xml:space="preserve"> obtaining</w:t>
      </w:r>
      <w:r w:rsidR="00111350">
        <w:rPr>
          <w:rFonts w:asciiTheme="majorHAnsi" w:hAnsiTheme="majorHAnsi"/>
        </w:rPr>
        <w:t xml:space="preserve"> additional signatures</w:t>
      </w:r>
      <w:r w:rsidRPr="7E9D2390">
        <w:rPr>
          <w:rFonts w:asciiTheme="majorHAnsi" w:hAnsiTheme="majorHAnsi"/>
        </w:rPr>
        <w:t xml:space="preserve">, and will be required to have an appropriate safe to store the cash/cards. </w:t>
      </w:r>
    </w:p>
    <w:p w14:paraId="428E5B53" w14:textId="67AD8530" w:rsidR="00475A57" w:rsidRDefault="00475A57" w:rsidP="00475A57">
      <w:pPr>
        <w:pStyle w:val="ListParagraph"/>
        <w:numPr>
          <w:ilvl w:val="1"/>
          <w:numId w:val="1"/>
        </w:numPr>
        <w:spacing w:after="120"/>
        <w:rPr>
          <w:rFonts w:asciiTheme="majorHAnsi" w:hAnsiTheme="majorHAnsi"/>
        </w:rPr>
      </w:pPr>
      <w:r w:rsidRPr="7E9D2390">
        <w:rPr>
          <w:rFonts w:asciiTheme="majorHAnsi" w:hAnsiTheme="majorHAnsi"/>
        </w:rPr>
        <w:t xml:space="preserve">If you do not know the “General Ledger Account” </w:t>
      </w:r>
      <w:r w:rsidR="004E72C9">
        <w:rPr>
          <w:rFonts w:asciiTheme="majorHAnsi" w:hAnsiTheme="majorHAnsi"/>
        </w:rPr>
        <w:t>(Human Subjects form) or “Recharge Information and Authorization” (Non-Employee form) information</w:t>
      </w:r>
      <w:r w:rsidRPr="7E9D2390">
        <w:rPr>
          <w:rFonts w:asciiTheme="majorHAnsi" w:hAnsiTheme="majorHAnsi"/>
        </w:rPr>
        <w:t>, please speak with your PI and/or Fund Manager.</w:t>
      </w:r>
    </w:p>
    <w:p w14:paraId="3CFDF7F0" w14:textId="0B96E21F" w:rsidR="00475A57" w:rsidRDefault="004E72C9" w:rsidP="00475A57">
      <w:pPr>
        <w:pStyle w:val="ListParagraph"/>
        <w:numPr>
          <w:ilvl w:val="1"/>
          <w:numId w:val="1"/>
        </w:numP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>For Human Subject Payment requests, please o</w:t>
      </w:r>
      <w:r w:rsidR="00475A57" w:rsidRPr="7E9D2390">
        <w:rPr>
          <w:rFonts w:asciiTheme="majorHAnsi" w:hAnsiTheme="majorHAnsi"/>
        </w:rPr>
        <w:t xml:space="preserve">btain approval from your Authorizer/PI and have the PI </w:t>
      </w:r>
      <w:r>
        <w:rPr>
          <w:rFonts w:asciiTheme="majorHAnsi" w:hAnsiTheme="majorHAnsi"/>
        </w:rPr>
        <w:t xml:space="preserve">also </w:t>
      </w:r>
      <w:r w:rsidR="00475A57" w:rsidRPr="7E9D2390">
        <w:rPr>
          <w:rFonts w:asciiTheme="majorHAnsi" w:hAnsiTheme="majorHAnsi"/>
        </w:rPr>
        <w:t>sign</w:t>
      </w:r>
      <w:r>
        <w:rPr>
          <w:rFonts w:asciiTheme="majorHAnsi" w:hAnsiTheme="majorHAnsi"/>
        </w:rPr>
        <w:t xml:space="preserve"> the form</w:t>
      </w:r>
      <w:r w:rsidR="00475A57" w:rsidRPr="7E9D2390">
        <w:rPr>
          <w:rFonts w:asciiTheme="majorHAnsi" w:hAnsiTheme="majorHAnsi"/>
        </w:rPr>
        <w:t>.</w:t>
      </w:r>
    </w:p>
    <w:p w14:paraId="28E825CB" w14:textId="426ED4E1" w:rsidR="00475A57" w:rsidRDefault="00020547" w:rsidP="00475A57">
      <w:pPr>
        <w:pStyle w:val="ListParagraph"/>
        <w:numPr>
          <w:ilvl w:val="0"/>
          <w:numId w:val="1"/>
        </w:numP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Once </w:t>
      </w:r>
      <w:r w:rsidR="00475A57" w:rsidRPr="7E9D2390">
        <w:rPr>
          <w:rFonts w:asciiTheme="majorHAnsi" w:hAnsiTheme="majorHAnsi"/>
        </w:rPr>
        <w:t>completed and signed</w:t>
      </w:r>
      <w:r w:rsidR="004E72C9">
        <w:rPr>
          <w:rFonts w:asciiTheme="majorHAnsi" w:hAnsiTheme="majorHAnsi"/>
        </w:rPr>
        <w:t xml:space="preserve"> by all parties in your team</w:t>
      </w:r>
      <w:r w:rsidR="00475A57" w:rsidRPr="7E9D2390">
        <w:rPr>
          <w:rFonts w:asciiTheme="majorHAnsi" w:hAnsiTheme="majorHAnsi"/>
        </w:rPr>
        <w:t xml:space="preserve">, </w:t>
      </w:r>
      <w:r w:rsidR="00475A57" w:rsidRPr="7E9D2390">
        <w:rPr>
          <w:rFonts w:asciiTheme="majorHAnsi" w:hAnsiTheme="majorHAnsi"/>
          <w:b/>
          <w:bCs/>
        </w:rPr>
        <w:t>submit the form to your Fund Manager</w:t>
      </w:r>
      <w:r w:rsidR="00475A57" w:rsidRPr="7E9D2390">
        <w:rPr>
          <w:rFonts w:asciiTheme="majorHAnsi" w:hAnsiTheme="majorHAnsi"/>
        </w:rPr>
        <w:t>.</w:t>
      </w:r>
    </w:p>
    <w:p w14:paraId="57AFF042" w14:textId="277AEF78" w:rsidR="00475A57" w:rsidRDefault="00475A57" w:rsidP="00475A57">
      <w:pPr>
        <w:pStyle w:val="ListParagraph"/>
        <w:numPr>
          <w:ilvl w:val="0"/>
          <w:numId w:val="1"/>
        </w:numPr>
        <w:spacing w:after="120"/>
        <w:rPr>
          <w:rFonts w:asciiTheme="majorHAnsi" w:hAnsiTheme="majorHAnsi"/>
        </w:rPr>
      </w:pPr>
      <w:r w:rsidRPr="7E9D2390">
        <w:rPr>
          <w:rFonts w:asciiTheme="majorHAnsi" w:hAnsiTheme="majorHAnsi"/>
        </w:rPr>
        <w:t xml:space="preserve">The </w:t>
      </w:r>
      <w:r w:rsidRPr="7E9D2390">
        <w:rPr>
          <w:rFonts w:asciiTheme="majorHAnsi" w:hAnsiTheme="majorHAnsi"/>
          <w:b/>
          <w:bCs/>
        </w:rPr>
        <w:t xml:space="preserve">Fund Manager will </w:t>
      </w:r>
      <w:r w:rsidR="004E72C9">
        <w:rPr>
          <w:rFonts w:asciiTheme="majorHAnsi" w:hAnsiTheme="majorHAnsi"/>
          <w:b/>
          <w:bCs/>
        </w:rPr>
        <w:t xml:space="preserve">sign (or obtain departmental signatures) and </w:t>
      </w:r>
      <w:r w:rsidRPr="7E9D2390">
        <w:rPr>
          <w:rFonts w:asciiTheme="majorHAnsi" w:hAnsiTheme="majorHAnsi"/>
          <w:b/>
          <w:bCs/>
        </w:rPr>
        <w:t>submit the request to Payment Solutions and Compliance</w:t>
      </w:r>
      <w:r w:rsidRPr="7E9D2390">
        <w:rPr>
          <w:rFonts w:asciiTheme="majorHAnsi" w:hAnsiTheme="majorHAnsi"/>
        </w:rPr>
        <w:t xml:space="preserve"> (PSC) via the </w:t>
      </w:r>
      <w:proofErr w:type="spellStart"/>
      <w:r w:rsidRPr="7E9D2390">
        <w:rPr>
          <w:rFonts w:asciiTheme="majorHAnsi" w:hAnsiTheme="majorHAnsi"/>
        </w:rPr>
        <w:t>MyUCLA</w:t>
      </w:r>
      <w:proofErr w:type="spellEnd"/>
      <w:r w:rsidRPr="7E9D2390">
        <w:rPr>
          <w:rFonts w:asciiTheme="majorHAnsi" w:hAnsiTheme="majorHAnsi"/>
        </w:rPr>
        <w:t xml:space="preserve"> Message Center. </w:t>
      </w:r>
    </w:p>
    <w:p w14:paraId="6FC57235" w14:textId="2D847DD7" w:rsidR="00475A57" w:rsidRDefault="00475A57" w:rsidP="00475A57">
      <w:pPr>
        <w:pStyle w:val="ListParagraph"/>
        <w:numPr>
          <w:ilvl w:val="0"/>
          <w:numId w:val="1"/>
        </w:numPr>
        <w:spacing w:after="120"/>
        <w:rPr>
          <w:rFonts w:asciiTheme="majorHAnsi" w:hAnsiTheme="majorHAnsi"/>
        </w:rPr>
      </w:pPr>
      <w:r w:rsidRPr="7E9D2390">
        <w:rPr>
          <w:rFonts w:asciiTheme="majorHAnsi" w:hAnsiTheme="majorHAnsi"/>
        </w:rPr>
        <w:t>If you’ve ordered cash or</w:t>
      </w:r>
      <w:r w:rsidR="00020547">
        <w:rPr>
          <w:rFonts w:asciiTheme="majorHAnsi" w:hAnsiTheme="majorHAnsi"/>
        </w:rPr>
        <w:t xml:space="preserve"> physical</w:t>
      </w:r>
      <w:r w:rsidRPr="7E9D2390">
        <w:rPr>
          <w:rFonts w:asciiTheme="majorHAnsi" w:hAnsiTheme="majorHAnsi"/>
        </w:rPr>
        <w:t xml:space="preserve"> gift cards:</w:t>
      </w:r>
    </w:p>
    <w:p w14:paraId="5AE8BEE8" w14:textId="518D4C1C" w:rsidR="00475A57" w:rsidRDefault="00475A57" w:rsidP="00475A57">
      <w:pPr>
        <w:pStyle w:val="ListParagraph"/>
        <w:numPr>
          <w:ilvl w:val="1"/>
          <w:numId w:val="1"/>
        </w:numPr>
        <w:spacing w:after="120"/>
        <w:rPr>
          <w:rFonts w:asciiTheme="majorHAnsi" w:hAnsiTheme="majorHAnsi"/>
        </w:rPr>
      </w:pPr>
      <w:r w:rsidRPr="7E9D2390">
        <w:rPr>
          <w:rFonts w:asciiTheme="majorHAnsi" w:hAnsiTheme="majorHAnsi"/>
        </w:rPr>
        <w:t xml:space="preserve"> </w:t>
      </w:r>
      <w:r w:rsidR="00020547">
        <w:rPr>
          <w:rFonts w:asciiTheme="majorHAnsi" w:hAnsiTheme="majorHAnsi"/>
        </w:rPr>
        <w:t>Once</w:t>
      </w:r>
      <w:r w:rsidRPr="7E9D2390">
        <w:rPr>
          <w:rFonts w:asciiTheme="majorHAnsi" w:hAnsiTheme="majorHAnsi"/>
        </w:rPr>
        <w:t xml:space="preserve"> PSC processe</w:t>
      </w:r>
      <w:r w:rsidR="00020547">
        <w:rPr>
          <w:rFonts w:asciiTheme="majorHAnsi" w:hAnsiTheme="majorHAnsi"/>
        </w:rPr>
        <w:t>s</w:t>
      </w:r>
      <w:r w:rsidRPr="7E9D2390">
        <w:rPr>
          <w:rFonts w:asciiTheme="majorHAnsi" w:hAnsiTheme="majorHAnsi"/>
        </w:rPr>
        <w:t xml:space="preserve"> the order, they will reach out to the </w:t>
      </w:r>
      <w:r w:rsidR="00020547">
        <w:rPr>
          <w:rFonts w:asciiTheme="majorHAnsi" w:hAnsiTheme="majorHAnsi"/>
        </w:rPr>
        <w:t xml:space="preserve">listed authorized personnel </w:t>
      </w:r>
      <w:r w:rsidRPr="7E9D2390">
        <w:rPr>
          <w:rFonts w:asciiTheme="majorHAnsi" w:hAnsiTheme="majorHAnsi"/>
        </w:rPr>
        <w:t xml:space="preserve">via the </w:t>
      </w:r>
      <w:proofErr w:type="spellStart"/>
      <w:r w:rsidRPr="7E9D2390">
        <w:rPr>
          <w:rFonts w:asciiTheme="majorHAnsi" w:hAnsiTheme="majorHAnsi"/>
          <w:b/>
          <w:bCs/>
        </w:rPr>
        <w:t>MyUCLA</w:t>
      </w:r>
      <w:proofErr w:type="spellEnd"/>
      <w:r w:rsidRPr="7E9D2390">
        <w:rPr>
          <w:rFonts w:asciiTheme="majorHAnsi" w:hAnsiTheme="majorHAnsi"/>
          <w:b/>
          <w:bCs/>
        </w:rPr>
        <w:t xml:space="preserve"> Message Center</w:t>
      </w:r>
      <w:r w:rsidRPr="7E9D2390">
        <w:rPr>
          <w:rFonts w:asciiTheme="majorHAnsi" w:hAnsiTheme="majorHAnsi"/>
        </w:rPr>
        <w:t xml:space="preserve"> to arrange delivery.  The </w:t>
      </w:r>
      <w:r w:rsidRPr="7E9D2390">
        <w:rPr>
          <w:rFonts w:asciiTheme="majorHAnsi" w:hAnsiTheme="majorHAnsi"/>
          <w:b/>
          <w:bCs/>
        </w:rPr>
        <w:t>authorized personnel MUST respond to the message</w:t>
      </w:r>
      <w:r w:rsidRPr="7E9D2390">
        <w:rPr>
          <w:rFonts w:asciiTheme="majorHAnsi" w:hAnsiTheme="majorHAnsi"/>
        </w:rPr>
        <w:t xml:space="preserve"> to confirm the delivery date/time</w:t>
      </w:r>
      <w:r w:rsidR="00020547">
        <w:rPr>
          <w:rFonts w:asciiTheme="majorHAnsi" w:hAnsiTheme="majorHAnsi"/>
        </w:rPr>
        <w:t xml:space="preserve">. Brinks will not schedule </w:t>
      </w:r>
      <w:r w:rsidR="00020547">
        <w:rPr>
          <w:rFonts w:asciiTheme="majorHAnsi" w:hAnsiTheme="majorHAnsi"/>
        </w:rPr>
        <w:lastRenderedPageBreak/>
        <w:t>delivery if they do not receive a reply.</w:t>
      </w:r>
      <w:r w:rsidR="003A500E">
        <w:rPr>
          <w:rFonts w:asciiTheme="majorHAnsi" w:hAnsiTheme="majorHAnsi"/>
        </w:rPr>
        <w:t xml:space="preserve"> The Fund Manager </w:t>
      </w:r>
      <w:proofErr w:type="gramStart"/>
      <w:r w:rsidR="003A500E">
        <w:rPr>
          <w:rFonts w:asciiTheme="majorHAnsi" w:hAnsiTheme="majorHAnsi"/>
        </w:rPr>
        <w:t>will</w:t>
      </w:r>
      <w:proofErr w:type="gramEnd"/>
      <w:r w:rsidR="003A500E">
        <w:rPr>
          <w:rFonts w:asciiTheme="majorHAnsi" w:hAnsiTheme="majorHAnsi"/>
        </w:rPr>
        <w:t xml:space="preserve"> follow-up with the authorized personnel to ensure a response is sent.</w:t>
      </w:r>
    </w:p>
    <w:p w14:paraId="49F07C37" w14:textId="19247793" w:rsidR="00475A57" w:rsidRDefault="00475A57" w:rsidP="00475A57">
      <w:pPr>
        <w:pStyle w:val="ListParagraph"/>
        <w:numPr>
          <w:ilvl w:val="1"/>
          <w:numId w:val="1"/>
        </w:numPr>
        <w:spacing w:after="120"/>
        <w:rPr>
          <w:rFonts w:asciiTheme="majorHAnsi" w:hAnsiTheme="majorHAnsi"/>
        </w:rPr>
      </w:pPr>
      <w:r w:rsidRPr="7E9D2390">
        <w:rPr>
          <w:rFonts w:asciiTheme="majorHAnsi" w:hAnsiTheme="majorHAnsi"/>
        </w:rPr>
        <w:t xml:space="preserve">Brinks armored car service will then deliver the cash/cards as per the message </w:t>
      </w:r>
      <w:r w:rsidR="00020547">
        <w:rPr>
          <w:rFonts w:asciiTheme="majorHAnsi" w:hAnsiTheme="majorHAnsi"/>
        </w:rPr>
        <w:t>(typically within a 4-hr window</w:t>
      </w:r>
      <w:r w:rsidRPr="7E9D2390">
        <w:rPr>
          <w:rFonts w:asciiTheme="majorHAnsi" w:hAnsiTheme="majorHAnsi"/>
        </w:rPr>
        <w:t>).</w:t>
      </w:r>
    </w:p>
    <w:p w14:paraId="59BB1469" w14:textId="1E5E7B3B" w:rsidR="00475A57" w:rsidRDefault="00475A57" w:rsidP="00475A57">
      <w:pPr>
        <w:pStyle w:val="ListParagraph"/>
        <w:numPr>
          <w:ilvl w:val="1"/>
          <w:numId w:val="1"/>
        </w:numPr>
        <w:spacing w:after="120"/>
        <w:rPr>
          <w:rFonts w:asciiTheme="majorHAnsi" w:hAnsiTheme="majorHAnsi"/>
        </w:rPr>
      </w:pPr>
      <w:r w:rsidRPr="7E9D2390">
        <w:rPr>
          <w:rFonts w:asciiTheme="majorHAnsi" w:hAnsiTheme="majorHAnsi"/>
        </w:rPr>
        <w:t>Once received, you m</w:t>
      </w:r>
      <w:r w:rsidR="00020547">
        <w:rPr>
          <w:rFonts w:asciiTheme="majorHAnsi" w:hAnsiTheme="majorHAnsi"/>
        </w:rPr>
        <w:t xml:space="preserve">ust follow all policies (see #2-4 </w:t>
      </w:r>
      <w:r w:rsidRPr="7E9D2390">
        <w:rPr>
          <w:rFonts w:asciiTheme="majorHAnsi" w:hAnsiTheme="majorHAnsi"/>
        </w:rPr>
        <w:t xml:space="preserve">above) regarding handling, safety, security, tracking, and disbursement of cash/cards.  </w:t>
      </w:r>
    </w:p>
    <w:p w14:paraId="5BB6C7D3" w14:textId="05C3CB8F" w:rsidR="00475A57" w:rsidRDefault="00475A57" w:rsidP="00475A57">
      <w:pPr>
        <w:pStyle w:val="ListParagraph"/>
        <w:numPr>
          <w:ilvl w:val="0"/>
          <w:numId w:val="1"/>
        </w:numPr>
        <w:spacing w:after="120"/>
        <w:rPr>
          <w:rFonts w:asciiTheme="majorHAnsi" w:hAnsiTheme="majorHAnsi"/>
        </w:rPr>
      </w:pPr>
      <w:r w:rsidRPr="7E9D2390">
        <w:rPr>
          <w:rFonts w:asciiTheme="majorHAnsi" w:hAnsiTheme="majorHAnsi"/>
        </w:rPr>
        <w:t>If you’ve order</w:t>
      </w:r>
      <w:r w:rsidR="00020547">
        <w:rPr>
          <w:rFonts w:asciiTheme="majorHAnsi" w:hAnsiTheme="majorHAnsi"/>
        </w:rPr>
        <w:t>ed</w:t>
      </w:r>
      <w:r w:rsidRPr="7E9D2390">
        <w:rPr>
          <w:rFonts w:asciiTheme="majorHAnsi" w:hAnsiTheme="majorHAnsi"/>
        </w:rPr>
        <w:t xml:space="preserve"> e-codes:</w:t>
      </w:r>
    </w:p>
    <w:p w14:paraId="16459B8A" w14:textId="77777777" w:rsidR="00475A57" w:rsidRDefault="00475A57" w:rsidP="00475A57">
      <w:pPr>
        <w:pStyle w:val="ListParagraph"/>
        <w:numPr>
          <w:ilvl w:val="1"/>
          <w:numId w:val="1"/>
        </w:numPr>
        <w:spacing w:after="120"/>
        <w:rPr>
          <w:rFonts w:asciiTheme="majorHAnsi" w:hAnsiTheme="majorHAnsi"/>
        </w:rPr>
      </w:pPr>
      <w:r w:rsidRPr="7E9D2390">
        <w:rPr>
          <w:rFonts w:asciiTheme="majorHAnsi" w:hAnsiTheme="majorHAnsi"/>
        </w:rPr>
        <w:t xml:space="preserve">You may or may not receive a message via </w:t>
      </w:r>
      <w:proofErr w:type="spellStart"/>
      <w:r w:rsidRPr="7E9D2390">
        <w:rPr>
          <w:rFonts w:asciiTheme="majorHAnsi" w:hAnsiTheme="majorHAnsi"/>
        </w:rPr>
        <w:t>MyUCLA</w:t>
      </w:r>
      <w:proofErr w:type="spellEnd"/>
      <w:r w:rsidRPr="7E9D2390">
        <w:rPr>
          <w:rFonts w:asciiTheme="majorHAnsi" w:hAnsiTheme="majorHAnsi"/>
        </w:rPr>
        <w:t xml:space="preserve"> Message Center regarding estimated delivery.</w:t>
      </w:r>
    </w:p>
    <w:p w14:paraId="02F34FD4" w14:textId="240B13E1" w:rsidR="00475A57" w:rsidRDefault="00475A57" w:rsidP="00475A57">
      <w:pPr>
        <w:pStyle w:val="ListParagraph"/>
        <w:numPr>
          <w:ilvl w:val="1"/>
          <w:numId w:val="1"/>
        </w:numPr>
        <w:spacing w:after="120"/>
        <w:rPr>
          <w:rFonts w:asciiTheme="majorHAnsi" w:hAnsiTheme="majorHAnsi"/>
        </w:rPr>
      </w:pPr>
      <w:r w:rsidRPr="7E9D2390">
        <w:rPr>
          <w:rFonts w:asciiTheme="majorHAnsi" w:hAnsiTheme="majorHAnsi"/>
        </w:rPr>
        <w:t xml:space="preserve">Once processed, </w:t>
      </w:r>
      <w:r w:rsidR="00020547">
        <w:rPr>
          <w:rFonts w:asciiTheme="majorHAnsi" w:hAnsiTheme="majorHAnsi"/>
        </w:rPr>
        <w:t>the person listed as Authorized Personnel</w:t>
      </w:r>
      <w:r w:rsidRPr="7E9D2390">
        <w:rPr>
          <w:rFonts w:asciiTheme="majorHAnsi" w:hAnsiTheme="majorHAnsi"/>
        </w:rPr>
        <w:t xml:space="preserve"> will receive an email with the e-codes for disbursement. </w:t>
      </w:r>
    </w:p>
    <w:p w14:paraId="6F71961B" w14:textId="7C012918" w:rsidR="00475A57" w:rsidRPr="003A500E" w:rsidRDefault="00475A57" w:rsidP="003A500E">
      <w:pPr>
        <w:pStyle w:val="ListParagraph"/>
        <w:numPr>
          <w:ilvl w:val="1"/>
          <w:numId w:val="1"/>
        </w:numPr>
        <w:spacing w:after="120"/>
        <w:rPr>
          <w:rFonts w:asciiTheme="majorHAnsi" w:hAnsiTheme="majorHAnsi"/>
        </w:rPr>
      </w:pPr>
      <w:r w:rsidRPr="7E9D2390">
        <w:rPr>
          <w:rFonts w:asciiTheme="majorHAnsi" w:hAnsiTheme="majorHAnsi"/>
        </w:rPr>
        <w:t>Once received, you must follow all policies (see #2</w:t>
      </w:r>
      <w:r w:rsidR="00020547">
        <w:rPr>
          <w:rFonts w:asciiTheme="majorHAnsi" w:hAnsiTheme="majorHAnsi"/>
        </w:rPr>
        <w:t xml:space="preserve">-4 </w:t>
      </w:r>
      <w:r w:rsidRPr="7E9D2390">
        <w:rPr>
          <w:rFonts w:asciiTheme="majorHAnsi" w:hAnsiTheme="majorHAnsi"/>
        </w:rPr>
        <w:t xml:space="preserve">above) regarding tracking and disbursement of </w:t>
      </w:r>
      <w:r w:rsidR="00020547">
        <w:rPr>
          <w:rFonts w:asciiTheme="majorHAnsi" w:hAnsiTheme="majorHAnsi"/>
        </w:rPr>
        <w:t>e-</w:t>
      </w:r>
      <w:bookmarkStart w:id="0" w:name="_GoBack"/>
      <w:bookmarkEnd w:id="0"/>
      <w:r w:rsidR="00020547">
        <w:rPr>
          <w:rFonts w:asciiTheme="majorHAnsi" w:hAnsiTheme="majorHAnsi"/>
        </w:rPr>
        <w:t>codes</w:t>
      </w:r>
      <w:r w:rsidRPr="7E9D2390">
        <w:rPr>
          <w:rFonts w:asciiTheme="majorHAnsi" w:hAnsiTheme="majorHAnsi"/>
        </w:rPr>
        <w:t xml:space="preserve">.  </w:t>
      </w:r>
      <w:r w:rsidRPr="003A500E">
        <w:rPr>
          <w:rFonts w:asciiTheme="majorHAnsi" w:hAnsiTheme="majorHAnsi"/>
          <w:b/>
        </w:rPr>
        <w:t xml:space="preserve"> </w:t>
      </w:r>
    </w:p>
    <w:sectPr w:rsidR="00475A57" w:rsidRPr="003A500E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4C1B574" w16cex:dateUtc="2023-01-13T23:41:26.539Z"/>
  <w16cex:commentExtensible w16cex:durableId="590630FB" w16cex:dateUtc="2023-01-13T23:43:06.577Z"/>
  <w16cex:commentExtensible w16cex:durableId="15939901" w16cex:dateUtc="2023-01-13T23:45:16.02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9C177D4" w16cid:durableId="64C1B574"/>
  <w16cid:commentId w16cid:paraId="408738F7" w16cid:durableId="590630FB"/>
  <w16cid:commentId w16cid:paraId="13FA8A12" w16cid:durableId="159399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54687" w14:textId="77777777" w:rsidR="00020547" w:rsidRDefault="00020547" w:rsidP="00020547">
      <w:pPr>
        <w:spacing w:after="0" w:line="240" w:lineRule="auto"/>
      </w:pPr>
      <w:r>
        <w:separator/>
      </w:r>
    </w:p>
  </w:endnote>
  <w:endnote w:type="continuationSeparator" w:id="0">
    <w:p w14:paraId="44C313B6" w14:textId="77777777" w:rsidR="00020547" w:rsidRDefault="00020547" w:rsidP="00020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9BD8F" w14:textId="2593D4D8" w:rsidR="00020547" w:rsidRPr="00020547" w:rsidRDefault="003A500E" w:rsidP="00020547">
    <w:pPr>
      <w:pStyle w:val="Footer"/>
      <w:jc w:val="right"/>
      <w:rPr>
        <w:color w:val="A6A6A6" w:themeColor="background1" w:themeShade="A6"/>
        <w:sz w:val="18"/>
        <w:szCs w:val="18"/>
      </w:rPr>
    </w:pPr>
    <w:r>
      <w:rPr>
        <w:color w:val="A6A6A6" w:themeColor="background1" w:themeShade="A6"/>
        <w:sz w:val="18"/>
        <w:szCs w:val="18"/>
      </w:rPr>
      <w:t>Updated by Laura Sheehan – 2/1</w:t>
    </w:r>
    <w:r w:rsidR="00020547" w:rsidRPr="00020547">
      <w:rPr>
        <w:color w:val="A6A6A6" w:themeColor="background1" w:themeShade="A6"/>
        <w:sz w:val="18"/>
        <w:szCs w:val="18"/>
      </w:rPr>
      <w:t>/2023</w:t>
    </w:r>
    <w:r w:rsidR="00020547">
      <w:rPr>
        <w:color w:val="A6A6A6" w:themeColor="background1" w:themeShade="A6"/>
        <w:sz w:val="18"/>
        <w:szCs w:val="18"/>
      </w:rPr>
      <w:tab/>
    </w:r>
    <w:r w:rsidR="00020547">
      <w:rPr>
        <w:color w:val="A6A6A6" w:themeColor="background1" w:themeShade="A6"/>
        <w:sz w:val="18"/>
        <w:szCs w:val="18"/>
      </w:rPr>
      <w:tab/>
    </w:r>
    <w:sdt>
      <w:sdtPr>
        <w:id w:val="40255299"/>
        <w:docPartObj>
          <w:docPartGallery w:val="Page Numbers (Bottom of Page)"/>
          <w:docPartUnique/>
        </w:docPartObj>
      </w:sdtPr>
      <w:sdtEndPr>
        <w:rPr>
          <w:noProof/>
          <w:color w:val="A6A6A6" w:themeColor="background1" w:themeShade="A6"/>
          <w:sz w:val="18"/>
          <w:szCs w:val="18"/>
        </w:rPr>
      </w:sdtEndPr>
      <w:sdtContent>
        <w:r w:rsidR="00020547" w:rsidRPr="00020547">
          <w:rPr>
            <w:color w:val="A6A6A6" w:themeColor="background1" w:themeShade="A6"/>
            <w:sz w:val="18"/>
            <w:szCs w:val="18"/>
          </w:rPr>
          <w:fldChar w:fldCharType="begin"/>
        </w:r>
        <w:r w:rsidR="00020547" w:rsidRPr="00020547">
          <w:rPr>
            <w:color w:val="A6A6A6" w:themeColor="background1" w:themeShade="A6"/>
            <w:sz w:val="18"/>
            <w:szCs w:val="18"/>
          </w:rPr>
          <w:instrText xml:space="preserve"> PAGE   \* MERGEFORMAT </w:instrText>
        </w:r>
        <w:r w:rsidR="00020547" w:rsidRPr="00020547">
          <w:rPr>
            <w:color w:val="A6A6A6" w:themeColor="background1" w:themeShade="A6"/>
            <w:sz w:val="18"/>
            <w:szCs w:val="18"/>
          </w:rPr>
          <w:fldChar w:fldCharType="separate"/>
        </w:r>
        <w:r>
          <w:rPr>
            <w:noProof/>
            <w:color w:val="A6A6A6" w:themeColor="background1" w:themeShade="A6"/>
            <w:sz w:val="18"/>
            <w:szCs w:val="18"/>
          </w:rPr>
          <w:t>3</w:t>
        </w:r>
        <w:r w:rsidR="00020547" w:rsidRPr="00020547">
          <w:rPr>
            <w:noProof/>
            <w:color w:val="A6A6A6" w:themeColor="background1" w:themeShade="A6"/>
            <w:sz w:val="18"/>
            <w:szCs w:val="18"/>
          </w:rPr>
          <w:fldChar w:fldCharType="end"/>
        </w:r>
      </w:sdtContent>
    </w:sdt>
  </w:p>
  <w:p w14:paraId="5B215A8A" w14:textId="0DEE9B55" w:rsidR="00020547" w:rsidRPr="00020547" w:rsidRDefault="00020547" w:rsidP="00020547">
    <w:pPr>
      <w:pStyle w:val="Footer"/>
      <w:rPr>
        <w:color w:val="A6A6A6" w:themeColor="background1" w:themeShade="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3F8C9" w14:textId="77777777" w:rsidR="00020547" w:rsidRDefault="00020547" w:rsidP="00020547">
      <w:pPr>
        <w:spacing w:after="0" w:line="240" w:lineRule="auto"/>
      </w:pPr>
      <w:r>
        <w:separator/>
      </w:r>
    </w:p>
  </w:footnote>
  <w:footnote w:type="continuationSeparator" w:id="0">
    <w:p w14:paraId="4EDBF585" w14:textId="77777777" w:rsidR="00020547" w:rsidRDefault="00020547" w:rsidP="00020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C357F"/>
    <w:multiLevelType w:val="multilevel"/>
    <w:tmpl w:val="204EA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924F2F"/>
    <w:multiLevelType w:val="hybridMultilevel"/>
    <w:tmpl w:val="98D48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57"/>
    <w:rsid w:val="00020547"/>
    <w:rsid w:val="00046CCC"/>
    <w:rsid w:val="00111350"/>
    <w:rsid w:val="001B498D"/>
    <w:rsid w:val="00336854"/>
    <w:rsid w:val="003A500E"/>
    <w:rsid w:val="00475A57"/>
    <w:rsid w:val="004E129D"/>
    <w:rsid w:val="004E72C9"/>
    <w:rsid w:val="00556FC9"/>
    <w:rsid w:val="008679D2"/>
    <w:rsid w:val="00B0BE0F"/>
    <w:rsid w:val="00B6658B"/>
    <w:rsid w:val="00CA2794"/>
    <w:rsid w:val="064A7BCC"/>
    <w:rsid w:val="19F83449"/>
    <w:rsid w:val="30643332"/>
    <w:rsid w:val="4765DEEE"/>
    <w:rsid w:val="5FC0F6D8"/>
    <w:rsid w:val="606E93EC"/>
    <w:rsid w:val="6E41A430"/>
    <w:rsid w:val="7A58977E"/>
    <w:rsid w:val="7CDE6DD2"/>
    <w:rsid w:val="7E9D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A109A5"/>
  <w15:chartTrackingRefBased/>
  <w15:docId w15:val="{DCA67E53-6B4B-4E53-92FA-77A335EA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A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A5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75A57"/>
    <w:pPr>
      <w:spacing w:after="0" w:line="240" w:lineRule="auto"/>
      <w:ind w:left="720"/>
    </w:pPr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475A57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85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0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547"/>
  </w:style>
  <w:style w:type="paragraph" w:styleId="Footer">
    <w:name w:val="footer"/>
    <w:basedOn w:val="Normal"/>
    <w:link w:val="FooterChar"/>
    <w:uiPriority w:val="99"/>
    <w:unhideWhenUsed/>
    <w:rsid w:val="00020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e.ucla.edu/business-finance-services/payment-solutions-and-compliance/how-to-submit-research-payment-request" TargetMode="External"/><Relationship Id="rId13" Type="http://schemas.openxmlformats.org/officeDocument/2006/relationships/hyperlink" Target="https://www.finance.ucla.edu/business-finance-services/payment-solutions-and-compliance/ucla-safe-requirement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olicy.ucop.edu/doc/3420353/BFB-G-41" TargetMode="External"/><Relationship Id="rId12" Type="http://schemas.openxmlformats.org/officeDocument/2006/relationships/hyperlink" Target="http://www.adminpolicies.ucla.edu/app/Default.aspx?&amp;id=361" TargetMode="External"/><Relationship Id="rId17" Type="http://schemas.openxmlformats.org/officeDocument/2006/relationships/hyperlink" Target="https://ucla.app.box.com/s/ar949mdo9k61bmmux3qonzuiku7aep9m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la.app.box.com/v/psc-human-subject-gift-card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licy.ucop.edu/doc/3420337/BFB-BUS-4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inance.ucla.edu/business-finance-services/payment-solutions-and-compliance/gift-card-guide" TargetMode="External"/><Relationship Id="rId10" Type="http://schemas.openxmlformats.org/officeDocument/2006/relationships/hyperlink" Target="https://policy.ucop.edu/doc/3420354/BFB-G-4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inance.ucla.edu/business-finance-services/payment-solutions-and-compliance/non-employee-request" TargetMode="External"/><Relationship Id="rId14" Type="http://schemas.openxmlformats.org/officeDocument/2006/relationships/hyperlink" Target="mailto:aptax@finance.ucla.edu" TargetMode="External"/><Relationship Id="Re9002edffcb9435b" Type="http://schemas.microsoft.com/office/2016/09/relationships/commentsIds" Target="commentsIds.xml"/><Relationship Id="R23e2b45b7fb4464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Health Sciences</Company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Sheehan, Laura W.</dc:creator>
  <cp:keywords/>
  <dc:description/>
  <cp:lastModifiedBy>Sheehan, Laura W.</cp:lastModifiedBy>
  <cp:revision>2</cp:revision>
  <dcterms:created xsi:type="dcterms:W3CDTF">2023-02-01T19:45:00Z</dcterms:created>
  <dcterms:modified xsi:type="dcterms:W3CDTF">2023-02-01T19:45:00Z</dcterms:modified>
</cp:coreProperties>
</file>